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886" w:rsidRPr="002015B0" w:rsidRDefault="008A6A56" w:rsidP="002015B0">
      <w:pPr>
        <w:spacing w:after="0" w:line="240" w:lineRule="auto"/>
        <w:jc w:val="center"/>
        <w:rPr>
          <w:rFonts w:cs="David" w:hint="cs"/>
          <w:b/>
          <w:bCs/>
          <w:sz w:val="24"/>
          <w:szCs w:val="24"/>
          <w:u w:val="single"/>
          <w:rtl/>
        </w:rPr>
      </w:pPr>
      <w:r w:rsidRPr="002015B0">
        <w:rPr>
          <w:rFonts w:cs="David" w:hint="cs"/>
          <w:b/>
          <w:bCs/>
          <w:sz w:val="24"/>
          <w:szCs w:val="24"/>
          <w:u w:val="single"/>
          <w:rtl/>
        </w:rPr>
        <w:t>שיעור 1: מקורות המשפט (חלק א')</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משפט הטבע</w:t>
      </w:r>
      <w:r w:rsidRPr="002015B0">
        <w:rPr>
          <w:rFonts w:ascii="Arial" w:hAnsi="Arial" w:cs="David"/>
          <w:rtl/>
        </w:rPr>
        <w:t xml:space="preserve">- אסכולה משפטית הקיימת לאורך כל ההיסטוריה האנושית, אשר בבסיסה עומדת הטענה כי נורמה שקובעים בני אדם בחברה מסוימת יכולה להיות חוק בעל תוקף משפטי רק אם אינה מנוגדת לעקרונות המוסר האובייקטיבים של המשפט הטבעי. </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פוזיטיביזם משפטי</w:t>
      </w:r>
      <w:r w:rsidRPr="002015B0">
        <w:rPr>
          <w:rFonts w:ascii="Arial" w:hAnsi="Arial" w:cs="David"/>
          <w:rtl/>
        </w:rPr>
        <w:t>- אסכולה משפטית שנולדה כתגובת נגד לתיאוריית משפט הטבע. מטרתה המרכזית היא  למצוא אבחנה ברורה בין משפט לבין מוסר - חוק אינו צריך להיות מוסרי על מנת שיהיה תקף. על-פי גישה זאת, הדרך לזיהוי נורמות משפטיות היא מבחן המקור: אם הפקודה באה מהריבון היא נורמה משפטית תקפה ללא קשר למוסריות שלה.</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ג'ון אוסטין</w:t>
      </w:r>
      <w:r w:rsidRPr="002015B0">
        <w:rPr>
          <w:rFonts w:ascii="Arial" w:hAnsi="Arial" w:cs="David"/>
          <w:rtl/>
        </w:rPr>
        <w:t xml:space="preserve">- משפטן אנגלי בעל השפעה רבה בתחום תורת המשפט הנחשב לראש וראשון בין תומכי גישת הפוזיטיביזם המשפטי. </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מִשְׁפָּט</w:t>
      </w:r>
      <w:r w:rsidRPr="002015B0">
        <w:rPr>
          <w:rFonts w:ascii="Arial" w:hAnsi="Arial" w:cs="David"/>
          <w:rtl/>
        </w:rPr>
        <w:t>- 1.  בֵּירוּר טעָנות של יריבים לשֵם הוצאת פּסַק דין; 2.  עִניָין שנָדון על-ידי שופט או שופטים;  3.  פּסַק דין;  4.  דין צדק, ללא עיווּת ועָוֶול;  5.  רשוּת חוּקית;  6.  חוק, מִצווה, בּעיקר בין אדם לַחבֵרו;  7.  מִנהָג, הִתנַהגוּת; (ההגדרה מתוך מילון ספיר).</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הכוונת התנהגות</w:t>
      </w:r>
      <w:r w:rsidRPr="002015B0">
        <w:rPr>
          <w:rFonts w:ascii="Arial" w:hAnsi="Arial" w:cs="David"/>
          <w:rtl/>
        </w:rPr>
        <w:t xml:space="preserve">- אחת הפונקציות המרכזיות של המשפט. ישנם חוקים רבים המכווינים התנהגות של בני אדם, אך בעיקר ניתן למצוא נורמות מכווינות התנהגות בחוק הפלילי ובדיני </w:t>
      </w:r>
      <w:proofErr w:type="spellStart"/>
      <w:r w:rsidRPr="002015B0">
        <w:rPr>
          <w:rFonts w:ascii="Arial" w:hAnsi="Arial" w:cs="David"/>
          <w:rtl/>
        </w:rPr>
        <w:t>הנזיקין</w:t>
      </w:r>
      <w:proofErr w:type="spellEnd"/>
      <w:r w:rsidRPr="002015B0">
        <w:rPr>
          <w:rFonts w:ascii="Arial" w:hAnsi="Arial" w:cs="David"/>
          <w:rtl/>
        </w:rPr>
        <w:t xml:space="preserve">. </w:t>
      </w:r>
    </w:p>
    <w:p w:rsidR="002015B0" w:rsidRDefault="00EE2759" w:rsidP="002015B0">
      <w:pPr>
        <w:pStyle w:val="NormalWeb"/>
        <w:bidi/>
        <w:spacing w:beforeAutospacing="0" w:after="0" w:afterAutospacing="0"/>
        <w:ind w:right="113"/>
        <w:jc w:val="both"/>
        <w:rPr>
          <w:rFonts w:ascii="Arial" w:hAnsi="Arial" w:cs="David" w:hint="cs"/>
          <w:rtl/>
        </w:rPr>
      </w:pPr>
      <w:r w:rsidRPr="002015B0">
        <w:rPr>
          <w:rFonts w:ascii="Arial" w:hAnsi="Arial" w:cs="David"/>
          <w:b/>
          <w:bCs/>
          <w:rtl/>
        </w:rPr>
        <w:t>מתן כלים להסדרים בין פרטים</w:t>
      </w:r>
      <w:r w:rsidRPr="002015B0">
        <w:rPr>
          <w:rFonts w:ascii="Arial" w:hAnsi="Arial" w:cs="David"/>
          <w:rtl/>
        </w:rPr>
        <w:t>- אחת ממטרותיו העיקריות של המשפט. לצד הכוונת ההתנהגות, מטרת החוק היא גם לספק לאזרחים כלים כדי להגשים את רצונם, כגון: דיני החוזים, חוקי הגנת הדייר, חוק הירושה, חוק העמותות ועוד.</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חלוקה מחדש ואספקת שירותים</w:t>
      </w:r>
      <w:r w:rsidRPr="002015B0">
        <w:rPr>
          <w:rFonts w:ascii="Arial" w:hAnsi="Arial" w:cs="David"/>
          <w:rtl/>
        </w:rPr>
        <w:t>- פונקציה נוספת שכל מערכת משפט ממלאת. באמצעות מנגנון המיסוי לוקחת המדינה חלק מהרכוש של האזרחים ומחלקת אותו מחדש. בנוסף, המדינה גם מספקת שירותים לאזרחיה: תחבורה, בריאות, בטחון, חינוך וכן כל דבר אחר שהמדינה עושה במסגרת החוק.</w:t>
      </w:r>
    </w:p>
    <w:p w:rsidR="00EE2759" w:rsidRPr="002015B0" w:rsidRDefault="00EE2759" w:rsidP="002015B0">
      <w:pPr>
        <w:pStyle w:val="NormalWeb"/>
        <w:bidi/>
        <w:spacing w:beforeAutospacing="0" w:after="0" w:afterAutospacing="0"/>
        <w:ind w:right="113"/>
        <w:jc w:val="both"/>
        <w:rPr>
          <w:rFonts w:ascii="Arial" w:hAnsi="Arial" w:cs="David"/>
          <w:rtl/>
        </w:rPr>
      </w:pPr>
      <w:proofErr w:type="spellStart"/>
      <w:r w:rsidRPr="002015B0">
        <w:rPr>
          <w:rFonts w:ascii="Arial" w:hAnsi="Arial" w:cs="David"/>
          <w:b/>
          <w:bCs/>
          <w:rtl/>
        </w:rPr>
        <w:t>לאקונה</w:t>
      </w:r>
      <w:proofErr w:type="spellEnd"/>
      <w:r w:rsidRPr="002015B0">
        <w:rPr>
          <w:rFonts w:ascii="Arial" w:hAnsi="Arial" w:cs="David"/>
          <w:rtl/>
        </w:rPr>
        <w:t xml:space="preserve">- חסר בדין. העדרה של הוראה בחקיקה או בפסיקה (תקדים) המתייחסת למקרה </w:t>
      </w:r>
      <w:proofErr w:type="spellStart"/>
      <w:r w:rsidRPr="002015B0">
        <w:rPr>
          <w:rFonts w:ascii="Arial" w:hAnsi="Arial" w:cs="David"/>
          <w:rtl/>
        </w:rPr>
        <w:t>מסויים</w:t>
      </w:r>
      <w:proofErr w:type="spellEnd"/>
      <w:r w:rsidRPr="002015B0">
        <w:rPr>
          <w:rFonts w:ascii="Arial" w:hAnsi="Arial" w:cs="David"/>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פקודה בלתי חוקית בעליל</w:t>
      </w:r>
      <w:r w:rsidRPr="002015B0">
        <w:rPr>
          <w:rFonts w:ascii="Arial" w:hAnsi="Arial" w:cs="David"/>
          <w:rtl/>
        </w:rPr>
        <w:t xml:space="preserve"> - פקודה צבאית שברור לכל אדם כי מילויה יהיה בגדר עבירה פלילית והעושה יורשע בדין אם יבצע אותה. על החייל שקיבל פקודה כזו, לסרב לציית לה כאשר היא ניתנת לו, ואם ציית לה - חלה עליו אחריות פלילית לתוצאות מעשהו.</w:t>
      </w:r>
    </w:p>
    <w:p w:rsidR="00EE2759" w:rsidRPr="002015B0" w:rsidRDefault="00EE2759" w:rsidP="002015B0">
      <w:pPr>
        <w:pStyle w:val="NormalWeb"/>
        <w:bidi/>
        <w:spacing w:beforeAutospacing="0" w:after="0" w:afterAutospacing="0"/>
        <w:ind w:right="113"/>
        <w:jc w:val="both"/>
        <w:rPr>
          <w:rFonts w:ascii="Arial" w:hAnsi="Arial" w:cs="David" w:hint="cs"/>
          <w:rtl/>
        </w:rPr>
      </w:pPr>
      <w:r w:rsidRPr="002015B0">
        <w:rPr>
          <w:rFonts w:ascii="Arial" w:hAnsi="Arial" w:cs="David"/>
          <w:b/>
          <w:bCs/>
          <w:rtl/>
        </w:rPr>
        <w:t>כללי הצדק הטבעי</w:t>
      </w:r>
      <w:r w:rsidRPr="002015B0">
        <w:rPr>
          <w:rFonts w:ascii="Arial" w:hAnsi="Arial" w:cs="David"/>
          <w:rtl/>
        </w:rPr>
        <w:t>- רשימה בלתי-סגורה של כללים אשר אינם מתעניינים בתוצאת ההליך המשפטי, אלא בהליך עצמו. על-פי כללי הצדק הטבעי, הליך שמפר את הכללים אינו הליך הוגן ו</w:t>
      </w:r>
      <w:r w:rsidR="002015B0">
        <w:rPr>
          <w:rFonts w:ascii="Arial" w:hAnsi="Arial" w:cs="David"/>
          <w:rtl/>
        </w:rPr>
        <w:t>לא יוכל להגיע לחקר האמת, ולפיכך</w:t>
      </w:r>
      <w:r w:rsidRPr="002015B0">
        <w:rPr>
          <w:rFonts w:ascii="Arial" w:hAnsi="Arial" w:cs="David"/>
          <w:rtl/>
        </w:rPr>
        <w:t>- גם אם תוצאת ההליך חיובית וראויה על פי עקרונות מוסריים - הרי שההליך יהא פסול והתוצאה תהא בטלה מאליה.</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EE2759" w:rsidRPr="002015B0" w:rsidRDefault="00EE2759" w:rsidP="002015B0">
      <w:pPr>
        <w:pStyle w:val="NormalWeb"/>
        <w:bidi/>
        <w:spacing w:after="0" w:afterAutospacing="0"/>
        <w:rPr>
          <w:rFonts w:ascii="Arial" w:hAnsi="Arial" w:cs="David"/>
          <w:rtl/>
        </w:rPr>
      </w:pPr>
      <w:r w:rsidRPr="002015B0">
        <w:rPr>
          <w:rFonts w:ascii="Arial" w:hAnsi="Arial" w:cs="David"/>
          <w:rtl/>
        </w:rPr>
        <w:t>בשיעור זה התחלנו את הקורס "מבוא למשפט הישראלי".</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הכרנו את שתי האסכולות המשפטיות העיקריות: הראשונה, אסכולת משפט הטבע, אשר קיימת לאורך כל ההיסטוריה האנושית, ולפיה נורמה שקובעים בני אדם בחברה מסוימת יכולה להיות חוק בעל תוקף משפטי רק אם אינה מנוגדת לעקרונות המוסר האובייקטיבים של המשפט הטבעי. והאחרת, גישת הפוזיטיביזם המשפטי, אשר התפתחה במאה ה- 19 כתגובת נגד לתיאוריית משפט הטבע במטרה לבחון כל תופעה באופן אובייקטיבי ולמצוא אבחנה ברורה בין משפט לבין מוסר. דהיינו, החוק אינו צריך להיות מוסרי על מנ</w:t>
      </w:r>
      <w:r w:rsidR="002015B0">
        <w:rPr>
          <w:rFonts w:ascii="Arial" w:hAnsi="Arial" w:cs="David"/>
          <w:rtl/>
        </w:rPr>
        <w:t>ת שיהיה תקף וגם חוק שאינו מוסרי</w:t>
      </w:r>
      <w:r w:rsidRPr="002015B0">
        <w:rPr>
          <w:rFonts w:ascii="Arial" w:hAnsi="Arial" w:cs="David"/>
          <w:rtl/>
        </w:rPr>
        <w:t xml:space="preserve">- תקף משפטית. </w:t>
      </w:r>
    </w:p>
    <w:p w:rsidR="00EE2759"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rtl/>
        </w:rPr>
        <w:t>בהמשך ההרצאה שאלנו את עצמנו</w:t>
      </w:r>
      <w:r w:rsidR="00EE2759" w:rsidRPr="002015B0">
        <w:rPr>
          <w:rFonts w:ascii="Arial" w:hAnsi="Arial" w:cs="David"/>
          <w:rtl/>
        </w:rPr>
        <w:t xml:space="preserve">- "מהו משפט?" ונוכחנו לדעת כי הניסיון להגדיר "משפט" איננו קל ומעורר קושי רב: האם נגדיר משפט מבחינה מהותית/ערכית או שמא מבחינה דיונית\פורמאלית? כמו כן, לאחר שנגענו בהגדרת המשפט, </w:t>
      </w:r>
      <w:r>
        <w:rPr>
          <w:rFonts w:ascii="Arial" w:hAnsi="Arial" w:cs="David"/>
          <w:rtl/>
        </w:rPr>
        <w:t>התעוררה השאלה</w:t>
      </w:r>
      <w:r w:rsidR="00EE2759" w:rsidRPr="002015B0">
        <w:rPr>
          <w:rFonts w:ascii="Arial" w:hAnsi="Arial" w:cs="David"/>
          <w:rtl/>
        </w:rPr>
        <w:t>-  מהן בכלל מטרות המשפט? גם כאן נוכחנו לדעת כי קיים קושי בהגדרת מטרות המשפט, אולם נהוג למנות 4 מטרות מרכזיות של המשפט: הכוונת התנהגות, מתן כלים להסדרים בין פרטים, חלוקה מחדש ואספקת שירותים ויישוב סכסוכים לא מוסדרים (</w:t>
      </w:r>
      <w:proofErr w:type="spellStart"/>
      <w:r w:rsidR="00EE2759" w:rsidRPr="002015B0">
        <w:rPr>
          <w:rFonts w:ascii="Arial" w:hAnsi="Arial" w:cs="David"/>
          <w:rtl/>
        </w:rPr>
        <w:t>לאקונות</w:t>
      </w:r>
      <w:proofErr w:type="spellEnd"/>
      <w:r w:rsidR="00EE2759" w:rsidRPr="002015B0">
        <w:rPr>
          <w:rFonts w:ascii="Arial" w:hAnsi="Arial" w:cs="David"/>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כן שוחחנו על הבעיות הקשות איתן מתמודד המשפט: התמודדות עם מצבים שלא נצפו ולא הוגדרו במסגרת החוק, קושי בשמירה על שוויון זכויות, אי מודעות לחומרת עבירות ונתינת עונש בלתי הולם מספיק לדידן, פורמאליות ונוקשות והתנגשות עם הדת וחוקיה.</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בדיון על "מושגים מעולם המשפט" דיברנו על הפרשה הטראגית של הטבח בכפר קאסם ושאלנו את עצמנו האם החובה לציית לחוק היא חובה מוחלטת? במסגרת זאת דנו במהותה של פקודה בלתי חוקית בעליל ועל חובתו של חייל לסרב לציית לה.</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השיעור סיימנו בדיון על כללי הצדק הטבעי, אשר אינם מוגדרים במדויק ומעולם לא עלו על הכתב כשורת כללים מחייבת. עמדנו על כך שאין כל קשר בין הרעיון של קיומם של כללי הצדק הטבעי ובין משפט הטבע, שכן </w:t>
      </w:r>
      <w:r w:rsidRPr="002015B0">
        <w:rPr>
          <w:rFonts w:ascii="Arial" w:hAnsi="Arial" w:cs="David"/>
          <w:rtl/>
        </w:rPr>
        <w:lastRenderedPageBreak/>
        <w:t>בעוד שעל-פי הדוקטרינה של משפט הטב</w:t>
      </w:r>
      <w:r w:rsidR="002015B0">
        <w:rPr>
          <w:rFonts w:ascii="Arial" w:hAnsi="Arial" w:cs="David"/>
          <w:rtl/>
        </w:rPr>
        <w:t>ע, על התוצאה המשפטית להיות מחוי</w:t>
      </w:r>
      <w:r w:rsidRPr="002015B0">
        <w:rPr>
          <w:rFonts w:ascii="Arial" w:hAnsi="Arial" w:cs="David"/>
          <w:rtl/>
        </w:rPr>
        <w:t>בת לעקרונות מוסריים</w:t>
      </w:r>
      <w:r w:rsidR="002015B0">
        <w:rPr>
          <w:rFonts w:ascii="Arial" w:hAnsi="Arial" w:cs="David" w:hint="cs"/>
          <w:rtl/>
        </w:rPr>
        <w:t xml:space="preserve"> </w:t>
      </w:r>
      <w:r w:rsidRPr="002015B0">
        <w:rPr>
          <w:rFonts w:ascii="Arial" w:hAnsi="Arial" w:cs="David"/>
          <w:rtl/>
        </w:rPr>
        <w:t xml:space="preserve">אובייקטיביים נעלים, הרי שכללי הצדק הטבעי אינם מתעניינים כלל בתוצאת ההליך המשפטי, אלא בהליך עצמו. על פי כללי הצדק הטבעי הליך שמפר את הכללים אינו הליך הוגן, ואינו הליך שיוכל להגיע לחקר האמת. מכיוון שכך, אפילו אם תוצאת ההליך הינה חיובית וראויה על פי עקרונות מוסריים, הרי </w:t>
      </w:r>
      <w:proofErr w:type="spellStart"/>
      <w:r w:rsidRPr="002015B0">
        <w:rPr>
          <w:rFonts w:ascii="Arial" w:hAnsi="Arial" w:cs="David"/>
          <w:rtl/>
        </w:rPr>
        <w:t>שבהיות</w:t>
      </w:r>
      <w:proofErr w:type="spellEnd"/>
      <w:r w:rsidRPr="002015B0">
        <w:rPr>
          <w:rFonts w:ascii="Arial" w:hAnsi="Arial" w:cs="David"/>
          <w:rtl/>
        </w:rPr>
        <w:t xml:space="preserve"> ההליך פסול, התוצאה הינה בטלה מאליה.</w:t>
      </w:r>
    </w:p>
    <w:p w:rsidR="00EE2759" w:rsidRPr="002015B0" w:rsidRDefault="00EE2759"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2: </w:t>
      </w:r>
      <w:r w:rsidRPr="002015B0">
        <w:rPr>
          <w:rFonts w:ascii="Arial" w:eastAsia="Times New Roman" w:hAnsi="Arial" w:cs="David"/>
          <w:b/>
          <w:bCs/>
          <w:sz w:val="24"/>
          <w:szCs w:val="24"/>
          <w:u w:val="single"/>
          <w:rtl/>
        </w:rPr>
        <w:t>מקורות המשפט (חלק ב')</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השומרוני הטוב</w:t>
      </w:r>
      <w:r w:rsidRPr="002015B0">
        <w:rPr>
          <w:rFonts w:ascii="Arial" w:hAnsi="Arial" w:cs="David"/>
          <w:rtl/>
        </w:rPr>
        <w:t xml:space="preserve">- ביטוי הלקוח מתוך הברית החדשה המתאר אדם החורג מהחובה שמוטלת עליו ופועל כדי לעזור לרעהו שנמצא במצוקה. </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חוק "לא תעמוד על דם רעך"</w:t>
      </w:r>
      <w:r w:rsidRPr="002015B0">
        <w:rPr>
          <w:rFonts w:ascii="Arial" w:hAnsi="Arial" w:cs="David"/>
          <w:rtl/>
        </w:rPr>
        <w:t>- חוק שנכנס לתוקף ב-28 בספטמבר 1998 אשר הופך את החובה המוסרית של עזרה לזולת לחובה הנובעת מחוק. העובר על הוראת החוק עונשו קנס.</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השיטה האדוורסרית</w:t>
      </w:r>
      <w:r w:rsidRPr="002015B0">
        <w:rPr>
          <w:rFonts w:ascii="Arial" w:hAnsi="Arial" w:cs="David"/>
          <w:rtl/>
        </w:rPr>
        <w:t xml:space="preserve">- שיטת משפט המקובלת במיוחד בארצות בהן נהוג המשפט המקובל, בה משמש שופט (או חבר מושבעים) כמכריע פאסיבי על פי עובדות וטיעונים המובאים בפניו על ידי בעלי הדין, ואינו לוקח חלק אקטיבי בחיפוש העובדות והכללים המשפטיים שיש להחיל במקרה הבא לדיון. </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השיטה האינקוויזיטורית</w:t>
      </w:r>
      <w:r w:rsidRPr="002015B0">
        <w:rPr>
          <w:rFonts w:ascii="Arial" w:hAnsi="Arial" w:cs="David"/>
          <w:rtl/>
        </w:rPr>
        <w:t xml:space="preserve">- שיטת משפט שנהוגה בעיקר בארצות בהן נהוג המשפט הקונטיננטלי (בעיקר צרפת ובספרד). בשיטה זאת השופט מעורב בהליך השיפוטי: הוא יוזם, חוקר, יכול להביע דעה, קורא את העדויות לפני המשפט, ביכולתו לזמן עדים </w:t>
      </w:r>
      <w:proofErr w:type="spellStart"/>
      <w:r w:rsidRPr="002015B0">
        <w:rPr>
          <w:rFonts w:ascii="Arial" w:hAnsi="Arial" w:cs="David"/>
          <w:rtl/>
        </w:rPr>
        <w:t>וכו</w:t>
      </w:r>
      <w:proofErr w:type="spellEnd"/>
      <w:r w:rsidRPr="002015B0">
        <w:rPr>
          <w:rFonts w:ascii="Arial" w:hAnsi="Arial" w:cs="David"/>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המשפט המקובל (</w:t>
      </w:r>
      <w:r w:rsidRPr="002015B0">
        <w:rPr>
          <w:rFonts w:cs="David"/>
          <w:b/>
          <w:bCs/>
        </w:rPr>
        <w:t>Common law</w:t>
      </w:r>
      <w:r w:rsidRPr="002015B0">
        <w:rPr>
          <w:rFonts w:ascii="Arial" w:hAnsi="Arial" w:cs="David"/>
          <w:b/>
          <w:bCs/>
          <w:rtl/>
        </w:rPr>
        <w:t>)</w:t>
      </w:r>
      <w:r w:rsidRPr="002015B0">
        <w:rPr>
          <w:rFonts w:ascii="Arial" w:hAnsi="Arial" w:cs="David"/>
          <w:rtl/>
        </w:rPr>
        <w:t>- שיטה משפטית שהתפתחה באנגליה ונהוגה בעיקר באנגליה, במדינות חבר העמים הבריטי ובמדינות שהיו בעבר תחת שלטונה של בריטניה (כמו גם ישראל). המשפט המקובל כולל בתוכו עקרונות ונורמות התנהגות מחייבות אשר לא התקבלו על-ידי פרלמנט דווקא, אלא בעיקר באמצעות פסיקות בתי המשפט (עקרון התקדים המחייב). לפי גישה זאת, לפסיקת בתי המשפט מעמד נורמטיבי מחייב כמו כל נורמה אשר נוצרת על-ידי הפרלמנט עצמו בהליך של חקיקה.</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משפט ציבורי</w:t>
      </w:r>
      <w:r w:rsidRPr="002015B0">
        <w:rPr>
          <w:rFonts w:ascii="Arial" w:hAnsi="Arial" w:cs="David"/>
          <w:rtl/>
        </w:rPr>
        <w:t>- תחום משפטי שעוסק בכללים המשפטיים שחלים על השלטון ועל היחסים שבין רשויות השלטון (בינן לבין עצמן) ובינן לבין האזרח במדינה. מקובל לחלק את המשפט הציבורי למשפט חוקתי ומשפט מנהלי.</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משפט פרטי</w:t>
      </w:r>
      <w:r w:rsidRPr="002015B0">
        <w:rPr>
          <w:rFonts w:ascii="Arial" w:hAnsi="Arial" w:cs="David"/>
          <w:rtl/>
        </w:rPr>
        <w:t>- תחום משפטי שעוסק בכללים המשפטיים שחלים על האזרחים במדינה ("פרטים") ועל היחסים שבין האזרחים.</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המשפט האזרחי</w:t>
      </w:r>
      <w:r w:rsidRPr="002015B0">
        <w:rPr>
          <w:rFonts w:ascii="Arial" w:hAnsi="Arial" w:cs="David"/>
          <w:rtl/>
        </w:rPr>
        <w:t>- ענף משפט העוסק רובו ככולו בדיני ממונות וכספים. ענף משפט זה הוא בין אזרח לאזרח.</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המשפט הפלילי</w:t>
      </w:r>
      <w:r w:rsidRPr="002015B0">
        <w:rPr>
          <w:rFonts w:ascii="Arial" w:hAnsi="Arial" w:cs="David"/>
          <w:rtl/>
        </w:rPr>
        <w:t>- ענף משפט שנועד בעיקרו לעשות סדר בחברה, ויש לו מספר מטרות: ענישה, שיקום, הרתעה ועוד. לרוב, הצדדים להליך הפלילי יהיו המדינה כנגד העבריין.</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המשפט המנהלי</w:t>
      </w:r>
      <w:r w:rsidRPr="002015B0">
        <w:rPr>
          <w:rFonts w:ascii="Arial" w:hAnsi="Arial" w:cs="David"/>
          <w:rtl/>
        </w:rPr>
        <w:t>- ענף המשפט של הרשויות המנהליות (רשויות המדינה) במילוי תפקידיהן הציבוריים. המשפט המנהלי מגדיר את העקרונות הכלליים על-פיהם מפעילות הרשויות הציבוריות את סמכויותיהן על-פי הדין וכן מסדיר את יחסי הרשויות בינן לבין עצמן ובינן לבין האזרח.</w:t>
      </w:r>
    </w:p>
    <w:p w:rsidR="00EE2759" w:rsidRPr="002015B0" w:rsidRDefault="00EE2759" w:rsidP="002015B0">
      <w:pPr>
        <w:pStyle w:val="NormalWeb"/>
        <w:bidi/>
        <w:spacing w:beforeAutospacing="0" w:after="0" w:afterAutospacing="0"/>
        <w:ind w:right="113"/>
        <w:jc w:val="both"/>
        <w:rPr>
          <w:rFonts w:ascii="Arial" w:hAnsi="Arial" w:cs="David"/>
          <w:b/>
          <w:bCs/>
          <w:rtl/>
        </w:rPr>
      </w:pPr>
      <w:r w:rsidRPr="002015B0">
        <w:rPr>
          <w:rFonts w:ascii="Arial" w:hAnsi="Arial" w:cs="David"/>
          <w:b/>
          <w:bCs/>
          <w:rtl/>
        </w:rPr>
        <w:t>גישור</w:t>
      </w:r>
      <w:r w:rsidRPr="002015B0">
        <w:rPr>
          <w:rFonts w:ascii="Arial" w:hAnsi="Arial" w:cs="David"/>
          <w:rtl/>
        </w:rPr>
        <w:t>- דרך אלטרנטיבית לפתרון מחלוקות בטרם פנייה לבית המשפט, במסגרתה מנסה צד שלישי ניטראלי להביא אנשים מסוכסכים באמצעים אזרחיים לעמק השווה. ‏המקור המשפטי להליך הגישור מצוי בסעיף 79ג לחוק בתי המשפט (נוסח משולב), התשמ"ד-1984‏.</w:t>
      </w:r>
    </w:p>
    <w:p w:rsidR="00EE2759" w:rsidRPr="002015B0" w:rsidRDefault="00EE2759" w:rsidP="002015B0">
      <w:pPr>
        <w:pStyle w:val="NormalWeb"/>
        <w:bidi/>
        <w:spacing w:beforeAutospacing="0" w:after="0" w:afterAutospacing="0"/>
        <w:ind w:right="113"/>
        <w:jc w:val="both"/>
        <w:rPr>
          <w:rFonts w:cs="David"/>
          <w:rtl/>
        </w:rPr>
      </w:pPr>
      <w:r w:rsidRPr="002015B0">
        <w:rPr>
          <w:rFonts w:ascii="Arial" w:hAnsi="Arial" w:cs="David"/>
          <w:b/>
          <w:bCs/>
          <w:rtl/>
        </w:rPr>
        <w:t>בוררות</w:t>
      </w:r>
      <w:r w:rsidRPr="002015B0">
        <w:rPr>
          <w:rFonts w:ascii="Arial" w:hAnsi="Arial" w:cs="David"/>
          <w:rtl/>
        </w:rPr>
        <w:t>- דרך אלטרנטיבית לפתרון מחלוקות בטרם פנייה לבית המשפט, במסגרתה צד שלישי ניטראלי מכריע בסכסוך אזרחי שבין אנשים. ‏המקור המשפטי להליך הגישור מצוי בסעיף 79ב לחוק בתי המשפט (נוסח משולב), התשמ"ד-19</w:t>
      </w:r>
    </w:p>
    <w:p w:rsidR="00EE2759" w:rsidRPr="002015B0" w:rsidRDefault="00EE2759"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במהלך שיעור זה, אשר היה המשך לדיון מהשיעור הקודם על מקורות המשפט, הוספנו לגעת במושגים שונים מעולם המשפט. דיברנו על חובת ההצלה שאדם חב לחברו המצוי במצוקה ובסכנה. ראינו את גישת ההלכה העברית בעניין, כמו גם את גישת מדינות אירופה הנוצרית ("השומרוני הטוב"), וכן עמדנו על גישתו של המחוקק הישראלי, כפי שזאת באה לידי ביטוי בחוק לא תעמוד על דם רעך, מתשנ"ח-1998, אשר נכנס לתוקף ב-28 בספטמבר 1998, ואשר הפך את החובה המוסרית של עזרה לזולת לחובה הנובעת מכוח חוק. </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את פרק ה"מושגים מעולם המשפט" סיימנו בהכרת שיטת המשפט האדוורסרית - אותה שיטת משפט בה משמש השופט (או חבר המושבעים) כמכריע פאסיבי על פי עובדות וטיעונים המובאים בפניו על-ידי בעלי הדין, וכן בהכרת השיטה האינקוויזיטורית - בה כן מעורב השופט בהליך השיפוטי.</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במהלך השיעור טענו כי ניתן לחלק את המשפט לשלושה ענפים עיקריים: המשפט האזרחי, המשפט הפלילי והמשפט המנהלי, ועמדנו על ההבדלים העיקריים בין כל אחד ואחד מענפי משפט אלו.</w:t>
      </w:r>
    </w:p>
    <w:p w:rsidR="00EE2759" w:rsidRPr="002015B0" w:rsidRDefault="00EE2759" w:rsidP="002015B0">
      <w:pPr>
        <w:pStyle w:val="NormalWeb"/>
        <w:bidi/>
        <w:spacing w:beforeAutospacing="0" w:after="0" w:afterAutospacing="0"/>
        <w:ind w:right="113"/>
        <w:jc w:val="both"/>
        <w:rPr>
          <w:rFonts w:ascii="Arial" w:hAnsi="Arial" w:cs="David"/>
          <w:rtl/>
        </w:rPr>
      </w:pPr>
      <w:r w:rsidRPr="002015B0">
        <w:rPr>
          <w:rFonts w:ascii="Arial" w:hAnsi="Arial" w:cs="David"/>
          <w:rtl/>
        </w:rPr>
        <w:t>את שיעור ונושא זה סיימנו בדיון על הדרכים האלטרנטיביות העיקריות לסיום ופתרון סכסוכים מחוץ לכותלי בית המשפט, ובמסגרת זאת הכרנו את הליכי הגישור והבוררות ועמדנו על ההבדלים העיקריים ביניהם.</w:t>
      </w:r>
    </w:p>
    <w:p w:rsidR="00EE2759" w:rsidRPr="002015B0" w:rsidRDefault="00EE2759"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cs="David" w:hint="cs"/>
          <w:b/>
          <w:bCs/>
          <w:sz w:val="24"/>
          <w:szCs w:val="24"/>
          <w:u w:val="single"/>
          <w:rtl/>
        </w:rPr>
      </w:pPr>
    </w:p>
    <w:p w:rsidR="00B20AF3" w:rsidRDefault="00B20AF3" w:rsidP="002015B0">
      <w:pPr>
        <w:spacing w:after="0" w:line="240" w:lineRule="auto"/>
        <w:jc w:val="center"/>
        <w:rPr>
          <w:rFonts w:cs="David" w:hint="cs"/>
          <w:b/>
          <w:bCs/>
          <w:sz w:val="24"/>
          <w:szCs w:val="24"/>
          <w:u w:val="single"/>
          <w:rtl/>
        </w:rPr>
      </w:pPr>
    </w:p>
    <w:p w:rsidR="00B20AF3" w:rsidRDefault="00B20AF3" w:rsidP="002015B0">
      <w:pPr>
        <w:spacing w:after="0" w:line="240" w:lineRule="auto"/>
        <w:jc w:val="center"/>
        <w:rPr>
          <w:rFonts w:cs="David" w:hint="cs"/>
          <w:b/>
          <w:bCs/>
          <w:sz w:val="24"/>
          <w:szCs w:val="24"/>
          <w:u w:val="single"/>
          <w:rtl/>
        </w:rPr>
      </w:pPr>
    </w:p>
    <w:p w:rsidR="00B20AF3" w:rsidRDefault="00B20AF3" w:rsidP="002015B0">
      <w:pPr>
        <w:spacing w:after="0" w:line="240" w:lineRule="auto"/>
        <w:jc w:val="center"/>
        <w:rPr>
          <w:rFonts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cs="David" w:hint="cs"/>
          <w:b/>
          <w:bCs/>
          <w:sz w:val="24"/>
          <w:szCs w:val="24"/>
          <w:u w:val="single"/>
          <w:rtl/>
        </w:rPr>
        <w:lastRenderedPageBreak/>
        <w:t>שיעור 3: ה</w:t>
      </w:r>
      <w:r w:rsidRPr="002015B0">
        <w:rPr>
          <w:rFonts w:cs="David"/>
          <w:b/>
          <w:bCs/>
          <w:sz w:val="24"/>
          <w:szCs w:val="24"/>
          <w:u w:val="single"/>
          <w:rtl/>
        </w:rPr>
        <w:t>מבנה הנורמטיבי של המשפט בישראל (חלק א')</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b/>
          <w:bCs/>
          <w:rtl/>
        </w:rPr>
        <w:t>המג'לה</w:t>
      </w:r>
      <w:r w:rsidR="0045569A" w:rsidRPr="002015B0">
        <w:rPr>
          <w:rFonts w:ascii="Arial" w:hAnsi="Arial" w:cs="David"/>
          <w:rtl/>
        </w:rPr>
        <w:t>- קובץ דינים אזרחיים עות'מאני, אשר היה עירוב של דינים מהמשפט האזרחי הקונטיננטלי והמשפט האסלאמי, וזאת בניסיון ליצור קודיפיקציה של אותם דינים אזרחיים. המג'לה הייתה בתוקף גם בארץ ישראל (בזמן שליטתה של האימפריה העות'מאנית), והיא נותרה בתוקף גם זמן רב לאחר מכן, ובפועל גם בתקופת המנדט הבריטי וגם לאחר קום מדינת ישראל נותרו חלק מהוראות המג'לה בתוקף. רק בשנת 1984, באמצעות החוק לביטול המג'לה, בוטלו סופית הוראות המג'לה.</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האימפריה העות'מאנית</w:t>
      </w:r>
      <w:r w:rsidRPr="002015B0">
        <w:rPr>
          <w:rFonts w:ascii="Arial" w:hAnsi="Arial" w:cs="David"/>
          <w:rtl/>
        </w:rPr>
        <w:t>- מדינה טורקית שהתקיימה מהמאה ה- 16 עד תחילת המאה ה- 20, והשתרעה מדרום מזרח אירופה עד לצפון אפריקה וחצי האי ערב. האימפריה העות'מאנית הייתה מהכוחות הפוליטיים העיקריים בין המאה ה-15, למאה ה-18 והיוותה איום על מדינות אירופה עד שהתפרקה לאחר מלחמת העולם הראשונה והייתה לטורקיה המודרנית. גם ארץ ישראל נכללה בתחומיה של האימפריה העות'מאנית (ההגדרה מתוך "ויקיפדיה - האנציקלופדיה החופשית").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המנדט הבריטי</w:t>
      </w:r>
      <w:r w:rsidRPr="002015B0">
        <w:rPr>
          <w:rFonts w:ascii="Arial" w:hAnsi="Arial" w:cs="David"/>
          <w:rtl/>
        </w:rPr>
        <w:t>- בשמו הרשמי המלא בעברית: המנדט הבריטי מטעם חבר הלאומים על פלשתינה (א"י), הוא כינוי למנדט (ייפוי כוח) שהוענק לבריטניה על ידי חבר הלאומים ואשר מכוחו שלטו הבריטים בארץ ישראל (פלשתינה) בין השנים 1920 ל- 1948 (ההגדרה מתוך "ויקיפדיה - האנציקלופדיה החופשית").</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דבר המלך במועצתו</w:t>
      </w:r>
      <w:r w:rsidRPr="002015B0">
        <w:rPr>
          <w:rFonts w:ascii="Arial" w:hAnsi="Arial" w:cs="David"/>
          <w:rtl/>
        </w:rPr>
        <w:t>- באופן פורמאלי מדובר בקובץ חוקים שפרסם מלך (או מלכת) בריטניה, לאחר שנועץ בחבר יועציו, והם חלו על כל מדינות האימפריה הבריטית, לרבות בארץ ישראל [בה חל דבר המלך במועצתו על פלשתינה (א"י)]. החוקים שפורסמו ב"דבר המלך במועצתו" הסדירו את אופי שלטון המנדט ואופן ניהולו.</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חוקה</w:t>
      </w:r>
      <w:r w:rsidRPr="002015B0">
        <w:rPr>
          <w:rFonts w:ascii="Arial" w:hAnsi="Arial" w:cs="David"/>
          <w:rtl/>
        </w:rPr>
        <w:t xml:space="preserve">- מבחינת תורת המדינה המודרנית, החוקה היא המשפט הפוזיטיבי העליון של קהילה, והיא כוללת הוראות בדבר מערכת היחסים בין רשויות השלטון בינן לבין </w:t>
      </w:r>
      <w:r w:rsidRPr="002015B0">
        <w:rPr>
          <w:rFonts w:ascii="Arial" w:hAnsi="Arial" w:cs="David"/>
        </w:rPr>
        <w:t xml:space="preserve"> </w:t>
      </w:r>
      <w:r w:rsidRPr="002015B0">
        <w:rPr>
          <w:rFonts w:ascii="Arial" w:hAnsi="Arial" w:cs="David"/>
          <w:rtl/>
        </w:rPr>
        <w:t xml:space="preserve">עצמן ובינן לבין האזרחים.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חוקה פורמאלית</w:t>
      </w:r>
      <w:r w:rsidRPr="002015B0">
        <w:rPr>
          <w:rFonts w:ascii="Arial" w:hAnsi="Arial" w:cs="David"/>
          <w:rtl/>
        </w:rPr>
        <w:t xml:space="preserve">- מסמך שחובר ע"י אנשים בשר ודם במדינה, אשר מהווה מסמך מהסדר הגבוה ביותר - נורמה עליונה במדינה ממנה נובעות נורמות אחרות. באנגלית היא קרויה </w:t>
      </w:r>
      <w:r w:rsidRPr="002015B0">
        <w:rPr>
          <w:rFonts w:ascii="Arial" w:hAnsi="Arial" w:cs="David"/>
        </w:rPr>
        <w:t>Constitution</w:t>
      </w:r>
      <w:r w:rsidRPr="002015B0">
        <w:rPr>
          <w:rFonts w:ascii="Arial" w:hAnsi="Arial" w:cs="David"/>
          <w:rtl/>
        </w:rPr>
        <w:t xml:space="preserve"> </w:t>
      </w:r>
      <w:r w:rsidRPr="002015B0">
        <w:rPr>
          <w:rFonts w:ascii="Arial" w:hAnsi="Arial" w:cs="David" w:hint="cs"/>
          <w:rtl/>
        </w:rPr>
        <w:t>- כלומר, יוצרת את מבנה המדינה.</w:t>
      </w:r>
    </w:p>
    <w:p w:rsidR="0045569A" w:rsidRPr="002015B0" w:rsidRDefault="0045569A" w:rsidP="002015B0">
      <w:pPr>
        <w:pStyle w:val="NormalWeb"/>
        <w:bidi/>
        <w:spacing w:beforeAutospacing="0" w:after="0" w:afterAutospacing="0"/>
        <w:ind w:right="113"/>
        <w:jc w:val="both"/>
        <w:rPr>
          <w:rFonts w:ascii="Arial" w:hAnsi="Arial" w:cs="David" w:hint="cs"/>
          <w:rtl/>
        </w:rPr>
      </w:pPr>
      <w:r w:rsidRPr="002015B0">
        <w:rPr>
          <w:rFonts w:ascii="Arial" w:hAnsi="Arial" w:cs="David"/>
          <w:b/>
          <w:bCs/>
          <w:rtl/>
        </w:rPr>
        <w:t>חוקה מטריאלית</w:t>
      </w:r>
      <w:r w:rsidRPr="002015B0">
        <w:rPr>
          <w:rFonts w:ascii="Arial" w:hAnsi="Arial" w:cs="David"/>
          <w:rtl/>
        </w:rPr>
        <w:t xml:space="preserve">- אוסף עקרונות בלתי כתובים שהתגבשו במשך השנים ל"מוסכמות חוקתיות". </w:t>
      </w:r>
    </w:p>
    <w:p w:rsidR="0045569A" w:rsidRPr="002015B0" w:rsidRDefault="002015B0" w:rsidP="002015B0">
      <w:pPr>
        <w:pStyle w:val="NormalWeb"/>
        <w:bidi/>
        <w:spacing w:beforeAutospacing="0" w:after="0" w:afterAutospacing="0"/>
        <w:ind w:right="113"/>
        <w:jc w:val="both"/>
        <w:rPr>
          <w:rFonts w:ascii="Arial" w:hAnsi="Arial" w:cs="David"/>
        </w:rPr>
      </w:pPr>
      <w:r>
        <w:rPr>
          <w:rFonts w:ascii="Arial" w:hAnsi="Arial" w:cs="David"/>
          <w:b/>
          <w:bCs/>
          <w:rtl/>
        </w:rPr>
        <w:t>חוקי יסו</w:t>
      </w:r>
      <w:r>
        <w:rPr>
          <w:rFonts w:ascii="Arial" w:hAnsi="Arial" w:cs="David" w:hint="cs"/>
          <w:b/>
          <w:bCs/>
          <w:rtl/>
        </w:rPr>
        <w:t>ד</w:t>
      </w:r>
      <w:r w:rsidR="0045569A" w:rsidRPr="002015B0">
        <w:rPr>
          <w:rFonts w:ascii="Arial" w:hAnsi="Arial" w:cs="David"/>
          <w:rtl/>
        </w:rPr>
        <w:t>- 11 חוקים של כנסת ישראל (נכון להיום) אשר עוסקים במבנה השלטון בישראל, ביחסי רשויות השלטון בינן לבין עצמן ובינן לבין האזרחים, וכן בזכויות האדם המוגנות במדינת ישראל. זוהי דרכה המיוחדת של כנסת ישראל לגבש חוקה לישראל - לא כמקשה אחת, אלא פרקים-פרקים אשר יובאו בבוא היום בפני הכנסת, לשם איגוד כל הפרקים יחד לחוקת המדינה.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חקיקה</w:t>
      </w:r>
      <w:r w:rsidRPr="002015B0">
        <w:rPr>
          <w:rFonts w:ascii="Arial" w:hAnsi="Arial" w:cs="David"/>
          <w:rtl/>
        </w:rPr>
        <w:t xml:space="preserve">- מעשה שמכוון מעיקרו ליצירת נורמה משפטית רשמית המנוסחת באופן אחיד וברור. בתורת המשפט מוגדר "חוק" כנורמה פוזיטיבית המבוטאת בצורה של כלל פומבי שנוצרת ע"י הגורם השולט בחברה.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הצעת חוק</w:t>
      </w:r>
      <w:r w:rsidRPr="002015B0">
        <w:rPr>
          <w:rFonts w:ascii="Arial" w:hAnsi="Arial" w:cs="David"/>
          <w:rtl/>
        </w:rPr>
        <w:t>- חוקים יכולים להיות מוצעים על-ידי הממשלה (הצעת חוק ממשלתית); על-ידי ח"כ יחיד (הצעת חוק פרטית); או על-ידי מספר חברי כנסת (הצעת חוק משותפת).</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2015B0">
      <w:pPr>
        <w:pStyle w:val="NormalWeb"/>
        <w:bidi/>
        <w:spacing w:after="0" w:afterAutospacing="0"/>
        <w:jc w:val="both"/>
        <w:rPr>
          <w:rFonts w:ascii="Arial" w:hAnsi="Arial" w:cs="David"/>
          <w:rtl/>
        </w:rPr>
      </w:pPr>
      <w:r w:rsidRPr="002015B0">
        <w:rPr>
          <w:rFonts w:ascii="Arial" w:hAnsi="Arial" w:cs="David"/>
          <w:rtl/>
        </w:rPr>
        <w:t>בשיעור זה התחלנו נושא חדש במסגרתו עסקנו במבנה הנורמטיבי של המשפט בישראל.</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בתחילת השיעור הכרנו את המשפט העות'מאני, אשר היה נוהג בארץ ישראל עד סוף מלחמת העולם הראשונה (הובא לכאן על-ידי האימפריה העות'מאנית), ואשר עקרונותיו התבססו על המג'לה - קובץ חקיקה עות'מאנית; כן הכרנו את המשפט האנגלי, אשר הוחל על ארץ ישראל מכוח המנדט שקיבלה אנגליה לשלוט על ארץ ישראל מטעם חבר הלאומים בשנת 1922, במסגרתו התוודענו לשיטת החקיקה המיוחדת שנקראה "דבר המלך במועצתו".</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עם הקמת המדינה, בחצות הלילה שבין 14 ל- 15 במאי 1948, פג תוקפו של המנדט הבריטי והוקמה מדינת ישראל, אשר - מחד - החלה מפתחת מערכת משפטית עצמאית המנותקת מהתלות בבריטניה, אולם - מאידך - הכירה בעובדה כי מערכת משפטית אינה יכולה להיווצר בן לילה, ולפיכך החילה רצף משפטי על חוקי המנדט, ככל שאלה לא סתרו את עקרונות המדינה החדשה שקמה.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בתום "הפרק ההיסטורי" התחלנו לעסוק במבנה הנורמטיבי של המשפט בישראל, ובמסגרת זאת עסקנו בחוקה. נוכחנו לראות כי החוקה היא המשפט הפוזיטיבי העליון של קהילה, מסמך שחובר ע"י אנשים בשר ודם במדינה (להבדיל ממשפט אלוהי), נורמה עליונה במדינה ממנה נובעות נורמות אחרות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כדוגמה לחוקה פורמאלית הבאנו את חוקת ארצות הברית - החוקה הכתובה העתיקה ביותר הנמצאת כיום בשימוש, וכדוגמא לחוקה מטריאלית הבאנו את אוסף המוסכמות החוקתיות של אנגליה.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בשל </w:t>
      </w:r>
      <w:proofErr w:type="spellStart"/>
      <w:r w:rsidRPr="002015B0">
        <w:rPr>
          <w:rFonts w:ascii="Arial" w:hAnsi="Arial" w:cs="David"/>
          <w:rtl/>
        </w:rPr>
        <w:t>אופיה</w:t>
      </w:r>
      <w:proofErr w:type="spellEnd"/>
      <w:r w:rsidRPr="002015B0">
        <w:rPr>
          <w:rFonts w:ascii="Arial" w:hAnsi="Arial" w:cs="David"/>
          <w:rtl/>
        </w:rPr>
        <w:t xml:space="preserve"> המיוחד של מדינת ישראל, ובחירתה בפתרון שונה ויצירתי בדמות חוקי היסוד, עסקנו בשאלה האם חוקי היסוד של מדינת ישראל הם בגדר חוקה (פורמאלית או מטריאלית). בעניין זה עמדנו על-כך שבשנת 1950 </w:t>
      </w:r>
      <w:r w:rsidRPr="002015B0">
        <w:rPr>
          <w:rFonts w:ascii="Arial" w:hAnsi="Arial" w:cs="David"/>
          <w:rtl/>
        </w:rPr>
        <w:lastRenderedPageBreak/>
        <w:t xml:space="preserve">נתקבלה החלטת חה"כ יזהר הררי אשר הציע כי בשל הבעיות בהן נתקלת המדינה הצעירה יש לבסס חוקה באמצעות חקיקת פרקים-פרקים ממנה, עד אשר יצטרפו לידי חוקה אחת.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לאחר שעמדנו על המחלוקת האם חוקי היסוד הישראליים הם בגדר חוקה, ראינו את החשיבות המרובה בחקיקת חוקי היסוד במדינת ישראל כמנגנון שמנחה, משפיע ומרסן את המחוקק. כן עסקנו בשני חוקי היסוד החשובים של שנת 1992 (חוק יסוד: כבוד האדם וחירותו וחוק יסוד: חופש העיסוק), אשר דנו לראשונה בצורה פרטנית בזכויות האזרח כפרט במדינת ישראל, ואשר מכוחם פסל לראשונה בית משפט בישראל דבר חקיקה של הכנסת (אם כי הדבר התהפך לאחר מכן בבית המשפט העליון).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את השיעור סיימנו בדיון על החקיקה, כמעשה שמכוון מעיקרו ליצירת נורמה משפטית רשמית המנוסחת באופן אחיד וברור, וכן עמדנו על ההבדלים העיקריים בין אירופה לבין ה"מדינות דוברות האנגלית", ככל שהדבר נוגע לחקיקה ולמעמדה. את פרק החקיקה ואת השיעור עצמו סיימנו בלימוד 3 השלבים של הליך החקיקה במדינת ישראל.</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4: </w:t>
      </w:r>
      <w:r w:rsidRPr="002015B0">
        <w:rPr>
          <w:rFonts w:ascii="Arial" w:eastAsia="Times New Roman" w:hAnsi="Arial" w:cs="David"/>
          <w:b/>
          <w:bCs/>
          <w:sz w:val="24"/>
          <w:szCs w:val="24"/>
          <w:u w:val="single"/>
          <w:rtl/>
        </w:rPr>
        <w:t>המבנה הנורמטיבי של המשפט בישראל (חלק ב')</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חקיקה משנית</w:t>
      </w:r>
      <w:r w:rsidRPr="002015B0">
        <w:rPr>
          <w:rFonts w:ascii="Arial" w:hAnsi="Arial" w:cs="David"/>
          <w:rtl/>
        </w:rPr>
        <w:t>- כל מעשה חקיקה שלא נוצר בכנסת.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עקרון חוקיות המנהל</w:t>
      </w:r>
      <w:r w:rsidRPr="002015B0">
        <w:rPr>
          <w:rFonts w:ascii="Arial" w:hAnsi="Arial" w:cs="David"/>
          <w:rtl/>
        </w:rPr>
        <w:t>- עקרון במשפט המנהלי הקובע כי הרשות המנהלית (רשויות השלטון) מוסמכת לפעול אך רק מכוח הסמכה מפורשת בחוק, וכל מה שאינו מותר לה על פי הדין - אסור לה (לעומת זאת, כאשר מדברים על פרטים בחברה, העיקרון הוא הפוך: לאדם נתונה הרשות לעשות כל דבר שהוא חפץ בו, למעט אותם דברים שנאסרו עליו מפורשות בחוק).</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מנהג משפטי</w:t>
      </w:r>
      <w:r w:rsidRPr="002015B0">
        <w:rPr>
          <w:rFonts w:ascii="Arial" w:hAnsi="Arial" w:cs="David"/>
          <w:rtl/>
        </w:rPr>
        <w:t xml:space="preserve">- התנהגות מחזורית בין אנשים שיוצרת הכרה או צפייה הדדית בקרב אותם אנשים שההתנהגות תחזור על עצמה.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עקרון השכנות/ציפיות</w:t>
      </w:r>
      <w:r w:rsidRPr="002015B0">
        <w:rPr>
          <w:rFonts w:ascii="Arial" w:hAnsi="Arial" w:cs="David"/>
          <w:rtl/>
        </w:rPr>
        <w:t xml:space="preserve">- עקרון משפטי הקובע כי כל אדם, באשר הוא, חייב חובת זהירות לשכנו. כלומר, אם אדם כלשהו יכול לצפות כי בשל מעשיו או מחדליו מישהו עלול להיפגע, הוא צריך לנקוט באמצעים סבירים שהמעשה הזה לא יתרחש.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תקדים</w:t>
      </w:r>
      <w:r w:rsidRPr="002015B0">
        <w:rPr>
          <w:rFonts w:ascii="Arial" w:hAnsi="Arial" w:cs="David"/>
          <w:rtl/>
        </w:rPr>
        <w:t>- נורמה משפטית שנוצרת על-ידי פסיקת בתי המשפט ("חקיקה שיפוטית"), ואשר בתי המשפט חייבים לפסוק לפי עקרונותיה כאשר מובאת להחלטתם סוגיה דומה לזו שבגינה נפסק התקדים.</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 xml:space="preserve">רציו </w:t>
      </w:r>
      <w:proofErr w:type="spellStart"/>
      <w:r w:rsidRPr="002015B0">
        <w:rPr>
          <w:rFonts w:ascii="Arial" w:hAnsi="Arial" w:cs="David"/>
          <w:b/>
          <w:bCs/>
          <w:rtl/>
        </w:rPr>
        <w:t>דיסידנדי</w:t>
      </w:r>
      <w:proofErr w:type="spellEnd"/>
      <w:r w:rsidRPr="002015B0">
        <w:rPr>
          <w:rFonts w:ascii="Arial" w:hAnsi="Arial" w:cs="David"/>
          <w:rtl/>
        </w:rPr>
        <w:t xml:space="preserve">- ההיגיון שעומד מאחורי החלטת בית המשפט. הרציו הוא הנימוק עצמו שנשען על </w:t>
      </w:r>
      <w:proofErr w:type="spellStart"/>
      <w:r w:rsidRPr="002015B0">
        <w:rPr>
          <w:rFonts w:ascii="Arial" w:hAnsi="Arial" w:cs="David"/>
          <w:rtl/>
        </w:rPr>
        <w:t>האוביטר</w:t>
      </w:r>
      <w:proofErr w:type="spellEnd"/>
      <w:r w:rsidRPr="002015B0">
        <w:rPr>
          <w:rFonts w:ascii="Arial" w:hAnsi="Arial" w:cs="David"/>
          <w:rtl/>
        </w:rPr>
        <w:t>.</w:t>
      </w:r>
    </w:p>
    <w:p w:rsidR="0045569A" w:rsidRPr="002015B0" w:rsidRDefault="0045569A" w:rsidP="002015B0">
      <w:pPr>
        <w:pStyle w:val="NormalWeb"/>
        <w:bidi/>
        <w:spacing w:beforeAutospacing="0" w:after="0" w:afterAutospacing="0"/>
        <w:ind w:right="113"/>
        <w:jc w:val="both"/>
        <w:rPr>
          <w:rFonts w:ascii="Arial" w:hAnsi="Arial" w:cs="David"/>
          <w:rtl/>
        </w:rPr>
      </w:pPr>
      <w:proofErr w:type="spellStart"/>
      <w:r w:rsidRPr="002015B0">
        <w:rPr>
          <w:rFonts w:ascii="Arial" w:hAnsi="Arial" w:cs="David"/>
          <w:b/>
          <w:bCs/>
          <w:rtl/>
        </w:rPr>
        <w:t>אוביטר</w:t>
      </w:r>
      <w:proofErr w:type="spellEnd"/>
      <w:r w:rsidRPr="002015B0">
        <w:rPr>
          <w:rFonts w:ascii="Arial" w:hAnsi="Arial" w:cs="David"/>
          <w:b/>
          <w:bCs/>
          <w:rtl/>
        </w:rPr>
        <w:t xml:space="preserve"> </w:t>
      </w:r>
      <w:proofErr w:type="spellStart"/>
      <w:r w:rsidRPr="002015B0">
        <w:rPr>
          <w:rFonts w:ascii="Arial" w:hAnsi="Arial" w:cs="David"/>
          <w:b/>
          <w:bCs/>
          <w:rtl/>
        </w:rPr>
        <w:t>דיקטום</w:t>
      </w:r>
      <w:proofErr w:type="spellEnd"/>
      <w:r w:rsidRPr="002015B0">
        <w:rPr>
          <w:rFonts w:ascii="Arial" w:hAnsi="Arial" w:cs="David"/>
          <w:rtl/>
        </w:rPr>
        <w:t xml:space="preserve">- המעטפת (ההקדמה) שנותן השופט לפני נימוק החלטתו לפסק-דין זה או אחר (הרציו). הרציו נשען על </w:t>
      </w:r>
      <w:proofErr w:type="spellStart"/>
      <w:r w:rsidRPr="002015B0">
        <w:rPr>
          <w:rFonts w:ascii="Arial" w:hAnsi="Arial" w:cs="David"/>
          <w:rtl/>
        </w:rPr>
        <w:t>האוביטר</w:t>
      </w:r>
      <w:proofErr w:type="spellEnd"/>
      <w:r w:rsidRPr="002015B0">
        <w:rPr>
          <w:rFonts w:ascii="Arial" w:hAnsi="Arial" w:cs="David"/>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עקרון סופיות הדיון</w:t>
      </w:r>
      <w:r w:rsidRPr="002015B0">
        <w:rPr>
          <w:rFonts w:ascii="Arial" w:hAnsi="Arial" w:cs="David"/>
          <w:rtl/>
        </w:rPr>
        <w:t>- מחסום משפטי-דיוני המונע התדיינות משפטית בסוגיה פלונית.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מעשה בית-דין</w:t>
      </w:r>
      <w:r w:rsidRPr="002015B0">
        <w:rPr>
          <w:rFonts w:ascii="Arial" w:hAnsi="Arial" w:cs="David"/>
          <w:rtl/>
        </w:rPr>
        <w:t xml:space="preserve">- עקרון משפטי הקובע כי מקום שתביעה נדונה לגופה והוכרעה על ידי בית משפט מוסמך, שוב אסור להיזקק לתביעה נוספת בין אותם צדדים המבוססת על עילה זהה.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התיישנות</w:t>
      </w:r>
      <w:r w:rsidRPr="002015B0">
        <w:rPr>
          <w:rFonts w:ascii="Arial" w:hAnsi="Arial" w:cs="David"/>
          <w:rtl/>
        </w:rPr>
        <w:t>- מניעה של הדין מפני הבאתה של תביעה לבירור בפני בית המשפט, כיוון שחלף זמן רב מדי מיום שקמה עילת התביעה ועד להגשת התביעה.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משפט חוזר</w:t>
      </w:r>
      <w:r w:rsidRPr="002015B0">
        <w:rPr>
          <w:rFonts w:ascii="Arial" w:hAnsi="Arial" w:cs="David"/>
          <w:rtl/>
        </w:rPr>
        <w:t>- עקרון המשפטי הקבוע בסעיף 31 לחוק בתי המשפט, המאפשר לאדם שהורשע במשפט פלילי לבקש משפט חוזר בעניינו וזאת בשל אחת מהעילות שקבועות בחוק.</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בשיעור זה סיימנו את הדיון על המבנה הנורמטיבי של המשפט בישראל.</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במהלך השיעור עסקנו במדרגים הבאים של פירמידת הנורמות, לאחר החוקה והחקיקה הראשית, וכך למדנו על </w:t>
      </w:r>
      <w:r w:rsidRPr="002015B0">
        <w:rPr>
          <w:rFonts w:ascii="Arial" w:hAnsi="Arial" w:cs="David"/>
          <w:b/>
          <w:bCs/>
          <w:rtl/>
        </w:rPr>
        <w:t>חקיקה משנית</w:t>
      </w:r>
      <w:r w:rsidRPr="002015B0">
        <w:rPr>
          <w:rFonts w:ascii="Arial" w:hAnsi="Arial" w:cs="David"/>
          <w:rtl/>
        </w:rPr>
        <w:t xml:space="preserve"> (כל מעשה חקיקה שלא נוצר בכנסת, כגון: תקנות וצווים שיוצרים משרדי הממשלה, חוקי עזר של עיריות ועוד); על </w:t>
      </w:r>
      <w:r w:rsidRPr="002015B0">
        <w:rPr>
          <w:rFonts w:ascii="Arial" w:hAnsi="Arial" w:cs="David"/>
          <w:b/>
          <w:bCs/>
          <w:rtl/>
        </w:rPr>
        <w:t>חוזים והסכמים</w:t>
      </w:r>
      <w:r w:rsidRPr="002015B0">
        <w:rPr>
          <w:rFonts w:ascii="Arial" w:hAnsi="Arial" w:cs="David"/>
          <w:rtl/>
        </w:rPr>
        <w:t xml:space="preserve"> כיוצרים נורמה; וכן על </w:t>
      </w:r>
      <w:r w:rsidRPr="002015B0">
        <w:rPr>
          <w:rFonts w:ascii="Arial" w:hAnsi="Arial" w:cs="David"/>
          <w:b/>
          <w:bCs/>
          <w:rtl/>
        </w:rPr>
        <w:t>מנהגים משפטיים</w:t>
      </w:r>
      <w:r w:rsidRPr="002015B0">
        <w:rPr>
          <w:rFonts w:ascii="Arial" w:hAnsi="Arial" w:cs="David"/>
          <w:rtl/>
        </w:rPr>
        <w:t xml:space="preserve"> אשר הופכים לנורמה קשיחה באשר הם מוכרים ככאלה.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לאחר האמור המשכנו ודנו על </w:t>
      </w:r>
      <w:r w:rsidRPr="002015B0">
        <w:rPr>
          <w:rFonts w:ascii="Arial" w:hAnsi="Arial" w:cs="David"/>
          <w:b/>
          <w:bCs/>
          <w:rtl/>
        </w:rPr>
        <w:t>פסיקת בתי המשפט</w:t>
      </w:r>
      <w:r w:rsidRPr="002015B0">
        <w:rPr>
          <w:rFonts w:ascii="Arial" w:hAnsi="Arial" w:cs="David"/>
          <w:rtl/>
        </w:rPr>
        <w:t xml:space="preserve"> ועל יצירת </w:t>
      </w:r>
      <w:r w:rsidRPr="002015B0">
        <w:rPr>
          <w:rFonts w:ascii="Arial" w:hAnsi="Arial" w:cs="David"/>
          <w:b/>
          <w:bCs/>
          <w:rtl/>
        </w:rPr>
        <w:t>התקדים</w:t>
      </w:r>
      <w:r w:rsidRPr="002015B0">
        <w:rPr>
          <w:rFonts w:ascii="Arial" w:hAnsi="Arial" w:cs="David"/>
          <w:rtl/>
        </w:rPr>
        <w:t>. נוכחנו לדעת כי במקרים בהם מחדש בית המשפט העליון הלכה משפטית הרי שמדובר בתקדים המחייב את כל בתי המשפט שמתחתיו, ואשר לו חשיבות רבה דווקא בשיטות משפט המבוססות על "המשפט המקובל", בהן יוצר התקדים את הנורמה המשפטית ולא רק מקנה תוכן לאמירות הכלליות שבחוק.</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כשאלה משלימה לעניין התקדים ראינו כי הדין בישראל קובע כי במקרי </w:t>
      </w:r>
      <w:proofErr w:type="spellStart"/>
      <w:r w:rsidRPr="002015B0">
        <w:rPr>
          <w:rFonts w:ascii="Arial" w:hAnsi="Arial" w:cs="David"/>
          <w:rtl/>
        </w:rPr>
        <w:t>לאקונה</w:t>
      </w:r>
      <w:proofErr w:type="spellEnd"/>
      <w:r w:rsidRPr="002015B0">
        <w:rPr>
          <w:rFonts w:ascii="Arial" w:hAnsi="Arial" w:cs="David"/>
          <w:rtl/>
        </w:rPr>
        <w:t xml:space="preserve"> על בית המשפט להכריע בשאלה המשפטית לפי עקרונות הצדק והחירות של מורשת ישראל, תוך ביטול הזיקה למשפט האנגלי.</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השיעור הנוכחי סיימנו בהכרת מספר מושגים הקשורים לפסיקת בתי המשפט, כגון: ה"רציו </w:t>
      </w:r>
      <w:proofErr w:type="spellStart"/>
      <w:r w:rsidRPr="002015B0">
        <w:rPr>
          <w:rFonts w:ascii="Arial" w:hAnsi="Arial" w:cs="David"/>
          <w:rtl/>
        </w:rPr>
        <w:t>דיסידנדי</w:t>
      </w:r>
      <w:proofErr w:type="spellEnd"/>
      <w:r w:rsidRPr="002015B0">
        <w:rPr>
          <w:rFonts w:ascii="Arial" w:hAnsi="Arial" w:cs="David"/>
          <w:rtl/>
        </w:rPr>
        <w:t xml:space="preserve">", </w:t>
      </w:r>
      <w:proofErr w:type="spellStart"/>
      <w:r w:rsidRPr="002015B0">
        <w:rPr>
          <w:rFonts w:ascii="Arial" w:hAnsi="Arial" w:cs="David"/>
          <w:rtl/>
        </w:rPr>
        <w:t>ה"אוביטר</w:t>
      </w:r>
      <w:proofErr w:type="spellEnd"/>
      <w:r w:rsidRPr="002015B0">
        <w:rPr>
          <w:rFonts w:ascii="Arial" w:hAnsi="Arial" w:cs="David"/>
          <w:rtl/>
        </w:rPr>
        <w:t xml:space="preserve"> </w:t>
      </w:r>
      <w:proofErr w:type="spellStart"/>
      <w:r w:rsidRPr="002015B0">
        <w:rPr>
          <w:rFonts w:ascii="Arial" w:hAnsi="Arial" w:cs="David"/>
          <w:rtl/>
        </w:rPr>
        <w:t>דיקטום</w:t>
      </w:r>
      <w:proofErr w:type="spellEnd"/>
      <w:r w:rsidRPr="002015B0">
        <w:rPr>
          <w:rFonts w:ascii="Arial" w:hAnsi="Arial" w:cs="David"/>
          <w:rtl/>
        </w:rPr>
        <w:t>" ועקרון "סופיות הדיון" (כדוגמת מעשה בית-דין והתיישנות) והחריג העיקרי לעקרון זה (משפט חוזר פלילי).</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בכך למעשה סיימנו את פרק הדיון במבנה הנורמטיבי של המשפט בישראל.</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5: </w:t>
      </w:r>
      <w:r w:rsidRPr="002015B0">
        <w:rPr>
          <w:rFonts w:ascii="Arial" w:eastAsia="Times New Roman" w:hAnsi="Arial" w:cs="David"/>
          <w:b/>
          <w:bCs/>
          <w:sz w:val="24"/>
          <w:szCs w:val="24"/>
          <w:u w:val="single"/>
          <w:rtl/>
        </w:rPr>
        <w:t>הרשות השופטת בישראל (חלק א')</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הוועדה לבחירת שופטים</w:t>
      </w:r>
      <w:r w:rsidRPr="002015B0">
        <w:rPr>
          <w:rFonts w:ascii="Arial" w:hAnsi="Arial" w:cs="David"/>
          <w:rtl/>
        </w:rPr>
        <w:t>- ועדה שהוקמה מכוח סעיף 4(א) לחוק יסוד: השפיטה, ואשר תפקידה הוא לבחור את שופטי מדינת ישראל. הועדה מורכבת מ- 9 חברים: שר המשפטים (יו"ר הועדה); נשיא בית המשפט העליון ושני שופטים אחרים של בית המשפט העליון; שר נוסף לפי קביעת הממשלה; שני חברי כנסת ושני עורכי-דין נציגי לשכת עורכי הדין.</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בתי משפט</w:t>
      </w:r>
      <w:r w:rsidRPr="002015B0">
        <w:rPr>
          <w:rFonts w:ascii="Arial" w:hAnsi="Arial" w:cs="David"/>
          <w:rtl/>
        </w:rPr>
        <w:t>- עַרכָּאות שיפוטיות בעלות סמכות כללית לשפיטה (כגון: בית משפט השלום).</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hint="cs"/>
          <w:b/>
          <w:bCs/>
          <w:rtl/>
        </w:rPr>
        <w:t>ב</w:t>
      </w:r>
      <w:r w:rsidR="0045569A" w:rsidRPr="002015B0">
        <w:rPr>
          <w:rFonts w:ascii="Arial" w:hAnsi="Arial" w:cs="David"/>
          <w:b/>
          <w:bCs/>
          <w:rtl/>
        </w:rPr>
        <w:t>תי דין</w:t>
      </w:r>
      <w:r w:rsidR="0045569A" w:rsidRPr="002015B0">
        <w:rPr>
          <w:rFonts w:ascii="Arial" w:hAnsi="Arial" w:cs="David"/>
          <w:rtl/>
        </w:rPr>
        <w:t>- עַרכָּאות שיפוטיות בעלות סמכות שפיטה בעניינים מיוחדים (כגון: בתי הדין לעבודה, בתי הדין הרבניים ועוד).</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עַרְכָּה (ברבים: עַרכָּאות)</w:t>
      </w:r>
      <w:r w:rsidRPr="002015B0">
        <w:rPr>
          <w:rFonts w:ascii="Arial" w:hAnsi="Arial" w:cs="David"/>
          <w:rtl/>
        </w:rPr>
        <w:t>- 1. מוסד בַּעל סַמכוּת שיפּוּטית, מקום המִשפּט, בֵּית-המִשפּט; 2. כל אחת מן הדרָגות בּמִדרַג המִשפּטים והכּפיפוּת של האחת לַחֲבֶרתהּ (ההגדרה מתוך "מילון ספיר").</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בעל דין</w:t>
      </w:r>
      <w:r w:rsidRPr="002015B0">
        <w:rPr>
          <w:rFonts w:ascii="Arial" w:hAnsi="Arial" w:cs="David"/>
          <w:rtl/>
        </w:rPr>
        <w:t>- כל מי שהינו צד להליך המתנהל בערכה משפטית כלשהי.</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העליון</w:t>
      </w:r>
      <w:r w:rsidRPr="002015B0">
        <w:rPr>
          <w:rFonts w:ascii="Arial" w:hAnsi="Arial" w:cs="David"/>
          <w:rtl/>
        </w:rPr>
        <w:t>- בית המשפט הניצב בראש ההיררכיה המשפטית במדינה.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ערעור בזכות</w:t>
      </w:r>
      <w:r w:rsidRPr="002015B0">
        <w:rPr>
          <w:rFonts w:ascii="Arial" w:hAnsi="Arial" w:cs="David"/>
          <w:rtl/>
        </w:rPr>
        <w:t>- ערעור על פי זכות הקבועה בחוק. על פסק-דין שניתן בערכה אחת יש זכות ערעור בחוק לערכה הגבוהה ממנה. למשל, ערעור בפני בית משפט מחוזי על פסק-דין של בית משפט שלום. ערעור נוסף באותו עניין מחייב קבלת רשות מבית המשפט.</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ערעור ברשות</w:t>
      </w:r>
      <w:r w:rsidRPr="002015B0">
        <w:rPr>
          <w:rFonts w:ascii="Arial" w:hAnsi="Arial" w:cs="David"/>
          <w:rtl/>
        </w:rPr>
        <w:t>- ערעור שלא על-פי זכות שבחוק, אלא על-פי רשות של בית משפט. למשל, ערעור על החלטה של בית המשפט שאינה החלטה סופית.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המחוזי</w:t>
      </w:r>
      <w:r w:rsidRPr="002015B0">
        <w:rPr>
          <w:rFonts w:ascii="Arial" w:hAnsi="Arial" w:cs="David"/>
          <w:rtl/>
        </w:rPr>
        <w:t xml:space="preserve">- בית המשפט השני בהיררכיה השיפוטית במדינת ישראל. ביהמ"ש המחוזי מוסמך לדון בעבירות פליליות שהעונש </w:t>
      </w:r>
      <w:proofErr w:type="spellStart"/>
      <w:r w:rsidRPr="002015B0">
        <w:rPr>
          <w:rFonts w:ascii="Arial" w:hAnsi="Arial" w:cs="David"/>
          <w:rtl/>
        </w:rPr>
        <w:t>המירבי</w:t>
      </w:r>
      <w:proofErr w:type="spellEnd"/>
      <w:r w:rsidRPr="002015B0">
        <w:rPr>
          <w:rFonts w:ascii="Arial" w:hAnsi="Arial" w:cs="David"/>
          <w:rtl/>
        </w:rPr>
        <w:t xml:space="preserve"> הקבוע לגביהן בחוק עולה על 7 שנות מאסר; בתביעות אזרחיות בהן סכום התביעה או שווי הנושא עולה על 2.5 מיליון ₪ (נכון לחודש 5/02); בכל ענייני המקרקעין (למעט אלה שבסמכות בית משפט השלום); ובערעורים על פסקי דין והחלטות אחרות של בית משפט השלום.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משפט השלום</w:t>
      </w:r>
      <w:r w:rsidRPr="002015B0">
        <w:rPr>
          <w:rFonts w:ascii="Arial" w:hAnsi="Arial" w:cs="David"/>
          <w:rtl/>
        </w:rPr>
        <w:t xml:space="preserve">- בית משפט הפועל כערכה ראשונה בתביעות אזרחיות </w:t>
      </w:r>
      <w:proofErr w:type="spellStart"/>
      <w:r w:rsidRPr="002015B0">
        <w:rPr>
          <w:rFonts w:ascii="Arial" w:hAnsi="Arial" w:cs="David"/>
          <w:rtl/>
        </w:rPr>
        <w:t>ששוויין</w:t>
      </w:r>
      <w:proofErr w:type="spellEnd"/>
      <w:r w:rsidRPr="002015B0">
        <w:rPr>
          <w:rFonts w:ascii="Arial" w:hAnsi="Arial" w:cs="David"/>
          <w:rtl/>
        </w:rPr>
        <w:t xml:space="preserve"> הכספי עד 2.5 מיליון ₪; בעבירות פליליות שהעונש המקסימאלי בגינן הוא עד 7 שנות מאסר; וכן בעניינים הנוגעים לחזקה, לשימוש או לחלוקה של מקרקעין.</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לנוער</w:t>
      </w:r>
      <w:r w:rsidRPr="002015B0">
        <w:rPr>
          <w:rFonts w:ascii="Arial" w:hAnsi="Arial" w:cs="David"/>
          <w:rtl/>
        </w:rPr>
        <w:t>- בית משפט שלום המוסמך לשפוט נאשמים קטינים שטרם מלאו להם 18 שנה ביום הגשת כתב אישום נגדם וכן לדון בעניינם של קטינים אשר הוריהם אינם מסוגלים לדאוג להם או לטפל בהם.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לענייני משפחה</w:t>
      </w:r>
      <w:r w:rsidRPr="002015B0">
        <w:rPr>
          <w:rFonts w:ascii="Arial" w:hAnsi="Arial" w:cs="David"/>
          <w:rtl/>
        </w:rPr>
        <w:t xml:space="preserve">- בית משפט במעמד של בית משפט שלום, אשר לו הסמכות הבלעדית לדון בתובענות בין בני משפחה בעניינים שונים, כגון אבהות, </w:t>
      </w:r>
      <w:proofErr w:type="spellStart"/>
      <w:r w:rsidRPr="002015B0">
        <w:rPr>
          <w:rFonts w:ascii="Arial" w:hAnsi="Arial" w:cs="David"/>
          <w:rtl/>
        </w:rPr>
        <w:t>אמהות</w:t>
      </w:r>
      <w:proofErr w:type="spellEnd"/>
      <w:r w:rsidRPr="002015B0">
        <w:rPr>
          <w:rFonts w:ascii="Arial" w:hAnsi="Arial" w:cs="David"/>
          <w:rtl/>
        </w:rPr>
        <w:t>, מזונות, יחסי ממון בין בני זוג, אפוטרופסות, החזקת קטינים, שינוי שם, גיל, אימוץ, ענייני ירושה, ועניינים נוספים המפורטים בחוק בית המשפט לענייני משפחה תשנ"ה - 1995.</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לתביעות קטנות</w:t>
      </w:r>
      <w:r w:rsidRPr="002015B0">
        <w:rPr>
          <w:rFonts w:ascii="Arial" w:hAnsi="Arial" w:cs="David"/>
          <w:rtl/>
        </w:rPr>
        <w:t xml:space="preserve">- בית משפט במעמד של בית משפט שלום, אשר סמכותו הייחודית הינה לדון בתביעות של יחיד (להבדיל מתאגיד) </w:t>
      </w:r>
      <w:proofErr w:type="spellStart"/>
      <w:r w:rsidRPr="002015B0">
        <w:rPr>
          <w:rFonts w:ascii="Arial" w:hAnsi="Arial" w:cs="David"/>
          <w:rtl/>
        </w:rPr>
        <w:t>ששוויין</w:t>
      </w:r>
      <w:proofErr w:type="spellEnd"/>
      <w:r w:rsidRPr="002015B0">
        <w:rPr>
          <w:rFonts w:ascii="Arial" w:hAnsi="Arial" w:cs="David"/>
          <w:rtl/>
        </w:rPr>
        <w:t xml:space="preserve"> הכספי נמוך (כיום כ- 30,000 ₪). המתדיינים בבית משפט זה אינם רשאים להיות מיוצגים על ידי עורכי-דין, אלא בהיתר של בית המשפט במקרים מיוחדים.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לתעבורה</w:t>
      </w:r>
      <w:r w:rsidRPr="002015B0">
        <w:rPr>
          <w:rFonts w:ascii="Arial" w:hAnsi="Arial" w:cs="David"/>
          <w:rtl/>
        </w:rPr>
        <w:t>- בית משפט במעמד של בית משפט שלום, אשר מוסמך לדון בעבירות נהגים והולכי רגל על פקודת התעבורה והתקנות שהותקנו מכוחה.</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סמכות עניינית</w:t>
      </w:r>
      <w:r w:rsidRPr="002015B0">
        <w:rPr>
          <w:rFonts w:ascii="Arial" w:hAnsi="Arial" w:cs="David"/>
          <w:rtl/>
        </w:rPr>
        <w:t>- סמכות של בית משפט לדון בעניין המובא לפניו מבחינת סוגו, מהותו או ערכו הכספי של העניין, בהתאם לקריטריונים הקבועים בחוק.</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סמכות מקומית</w:t>
      </w:r>
      <w:r w:rsidRPr="002015B0">
        <w:rPr>
          <w:rFonts w:ascii="Arial" w:hAnsi="Arial" w:cs="David"/>
          <w:rtl/>
        </w:rPr>
        <w:t>- סמכות של בית משפט לדון בעניין המובא לפניו לאור קריטריונים גיאוגרפיים הקבועים בחוק (כגון: מקום מגוריו של הנתבע, מקום עריכת החוזה, מקום ביצוע העבירה ועוד).</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סמכות שיורית</w:t>
      </w:r>
      <w:r w:rsidRPr="002015B0">
        <w:rPr>
          <w:rFonts w:ascii="Arial" w:hAnsi="Arial" w:cs="David"/>
          <w:rtl/>
        </w:rPr>
        <w:t xml:space="preserve">- סמכותו של בית המשפט המחוזי לדון בכל עניין שאינו בסמכותו הייחודית של בית דין אחר, וכן בכל עניין המצוי בסמכותו המקבילה של בית דין אחר, כל עוד אותו בית דין אינו דן בו, ואם הוא אינו בסמכות בית משפט השלום. הסמכות נובעת מחוק בתי המשפט (נוסח משולב) </w:t>
      </w:r>
      <w:proofErr w:type="spellStart"/>
      <w:r w:rsidRPr="002015B0">
        <w:rPr>
          <w:rFonts w:ascii="Arial" w:hAnsi="Arial" w:cs="David"/>
          <w:rtl/>
        </w:rPr>
        <w:t>התשמ"ד</w:t>
      </w:r>
      <w:proofErr w:type="spellEnd"/>
      <w:r w:rsidRPr="002015B0">
        <w:rPr>
          <w:rFonts w:ascii="Arial" w:hAnsi="Arial" w:cs="David"/>
          <w:rtl/>
        </w:rPr>
        <w:t>- 1984.</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הדין לעבודה</w:t>
      </w:r>
      <w:r w:rsidRPr="002015B0">
        <w:rPr>
          <w:rFonts w:ascii="Arial" w:hAnsi="Arial" w:cs="David"/>
          <w:rtl/>
        </w:rPr>
        <w:t>- בית משפט אשר לו הסמכות הבלעדית לדון בתביעות שעניינן יחסי עובד-מעביד והתוצאות של יחסים אלה, הסכמים קיבוציים, קופות גמל, תביעות על-פי חוק הביטוח הלאומי וכן עניינים שונים הקבועים בחוק ביטוח בריאות ממלכתי. כערכה ראשונה של בית משפט זה משמשים בתי הדין האזוריים לעבודה, וכערכת ערעור עליהם משמש בית הדין הארצי לעבודה.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הדין הרבני</w:t>
      </w:r>
      <w:r w:rsidRPr="002015B0">
        <w:rPr>
          <w:rFonts w:ascii="Arial" w:hAnsi="Arial" w:cs="David"/>
          <w:rtl/>
        </w:rPr>
        <w:t>- בית משפט אשר לו סמכויות השיפוט הבלעדיות בנושאים של נישואין וגירושין, וכן סמכות מקבילה (לזאת של בית המשפט לענייני משפחה) בעניינים של מזונות, החזקת ילדים, וחלוקת רכוש בין בני זוג. ערעור על פסק דינו של בית דין רבני אזורי נשמע בפני בית הדין הרבני הגדול בירושלים.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סמכות ייחודית</w:t>
      </w:r>
      <w:r w:rsidRPr="002015B0">
        <w:rPr>
          <w:rFonts w:ascii="Arial" w:hAnsi="Arial" w:cs="David"/>
          <w:rtl/>
        </w:rPr>
        <w:t>- סמכות שיפוט הנתונה באופן בלעדי לאחת מהערכאות בלבד (למשל, ענייני גירושין של יהודים בישראל נתונים לסמכותו הייחודית של בית הדין הרבני).</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סמכות מקבילה</w:t>
      </w:r>
      <w:r w:rsidRPr="002015B0">
        <w:rPr>
          <w:rFonts w:ascii="Arial" w:hAnsi="Arial" w:cs="David"/>
          <w:rtl/>
        </w:rPr>
        <w:t>- סמכות של שתי ערכאות שיפוטיות לדון באותו עניין [כגון: סמכות בית המשפט לענייני משפחה ובית הדין הרבני לדון בנושאים הנלווים לגירושין של יהודים במדינת ישראל (מזונות, חלוקת רכוש, אחזקת ילדים וכו')].</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6: </w:t>
      </w:r>
      <w:r w:rsidRPr="002015B0">
        <w:rPr>
          <w:rFonts w:ascii="Arial" w:eastAsia="Times New Roman" w:hAnsi="Arial" w:cs="David"/>
          <w:b/>
          <w:bCs/>
          <w:sz w:val="24"/>
          <w:szCs w:val="24"/>
          <w:u w:val="single"/>
          <w:rtl/>
        </w:rPr>
        <w:t>הרשות השופטת בישראל (חלק ב')</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הגבוה לצדק (בג"צ)</w:t>
      </w:r>
      <w:r w:rsidRPr="002015B0">
        <w:rPr>
          <w:rFonts w:ascii="Arial" w:hAnsi="Arial" w:cs="David"/>
          <w:rtl/>
        </w:rPr>
        <w:t>- בית המשפט העליון בשבתו כבית משפט גבוה לצדק. מוסמך לדון ולתת סעדים כנגד רשויות השלטון וזאת למען הצדק או אם הרשויות פעלו בחוסר סמכות או בחריגה ממנה, בחוסר סבירות, בחוסר מידתיות ועוד.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 xml:space="preserve">עתירה </w:t>
      </w:r>
      <w:proofErr w:type="spellStart"/>
      <w:r w:rsidRPr="002015B0">
        <w:rPr>
          <w:rFonts w:ascii="Arial" w:hAnsi="Arial" w:cs="David"/>
          <w:b/>
          <w:bCs/>
          <w:rtl/>
        </w:rPr>
        <w:t>לבג"צ</w:t>
      </w:r>
      <w:proofErr w:type="spellEnd"/>
      <w:r w:rsidRPr="002015B0">
        <w:rPr>
          <w:rFonts w:ascii="Arial" w:hAnsi="Arial" w:cs="David"/>
          <w:rtl/>
        </w:rPr>
        <w:t>- פניה לבית המשפט העליון בשבתו כבית משפט גבוה לצדק לקבלת סעד או צו ביניים בעניינים שבסמכות בג"צ.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צו על תנאי</w:t>
      </w:r>
      <w:r w:rsidRPr="002015B0">
        <w:rPr>
          <w:rFonts w:ascii="Arial" w:hAnsi="Arial" w:cs="David"/>
          <w:rtl/>
        </w:rPr>
        <w:t>- צו הניתן על-ידי בג"צ לבקשת עותר, המורה לרשות שלטונית או לממלא תפקיד שלטוני לנמק מדוע לא יעשו או ימנעו מלעשות את הפעולה המפורטת בעתירה.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צו ביניים</w:t>
      </w:r>
      <w:r w:rsidRPr="002015B0">
        <w:rPr>
          <w:rFonts w:ascii="Arial" w:hAnsi="Arial" w:cs="David"/>
          <w:rtl/>
        </w:rPr>
        <w:t xml:space="preserve">- צו זמני לעשיית מעשה או להימנע </w:t>
      </w:r>
      <w:proofErr w:type="spellStart"/>
      <w:r w:rsidRPr="002015B0">
        <w:rPr>
          <w:rFonts w:ascii="Arial" w:hAnsi="Arial" w:cs="David"/>
          <w:rtl/>
        </w:rPr>
        <w:t>מלעשותו</w:t>
      </w:r>
      <w:proofErr w:type="spellEnd"/>
      <w:r w:rsidRPr="002015B0">
        <w:rPr>
          <w:rFonts w:ascii="Arial" w:hAnsi="Arial" w:cs="David"/>
          <w:rtl/>
        </w:rPr>
        <w:t xml:space="preserve"> הניתן על-ידי בג"צ לבקשת עותר, וזאת עד לקיום דיון בעתירה במעמד שני הצדדים.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צו מוחלט</w:t>
      </w:r>
      <w:r w:rsidRPr="002015B0">
        <w:rPr>
          <w:rFonts w:ascii="Arial" w:hAnsi="Arial" w:cs="David"/>
          <w:rtl/>
        </w:rPr>
        <w:t xml:space="preserve">- צו הניתן על-ידי בג"צ לבקשת עותר, האוסר על רשות שלטונית או ממלא תפקיד שלטוני לבצע צעדים </w:t>
      </w:r>
      <w:proofErr w:type="spellStart"/>
      <w:r w:rsidRPr="002015B0">
        <w:rPr>
          <w:rFonts w:ascii="Arial" w:hAnsi="Arial" w:cs="David"/>
          <w:rtl/>
        </w:rPr>
        <w:t>מסויימים</w:t>
      </w:r>
      <w:proofErr w:type="spellEnd"/>
      <w:r w:rsidRPr="002015B0">
        <w:rPr>
          <w:rFonts w:ascii="Arial" w:hAnsi="Arial" w:cs="David"/>
          <w:rtl/>
        </w:rPr>
        <w:t xml:space="preserve"> ו/או המורה להם לפעול באופן מסוים.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בית המשפט המחוזי בשבתו כבית משפט לעניינים מנהליים</w:t>
      </w:r>
      <w:r w:rsidRPr="002015B0">
        <w:rPr>
          <w:rFonts w:ascii="Arial" w:hAnsi="Arial" w:cs="David"/>
          <w:rtl/>
        </w:rPr>
        <w:t xml:space="preserve">- בית משפט מחוזי-מנהלי הפועל מכוח חוק בתי המשפט לעניינים מנהליים, התש"ס-2000, אשר מטרתו להסמיך באופן הדרגתי את בית המשפט המחוזי לדון בעניינים מנהליים שעד לאותו מועד נדונו </w:t>
      </w:r>
      <w:proofErr w:type="spellStart"/>
      <w:r w:rsidRPr="002015B0">
        <w:rPr>
          <w:rFonts w:ascii="Arial" w:hAnsi="Arial" w:cs="David"/>
          <w:rtl/>
        </w:rPr>
        <w:t>בבג"צ</w:t>
      </w:r>
      <w:proofErr w:type="spellEnd"/>
      <w:r w:rsidRPr="002015B0">
        <w:rPr>
          <w:rFonts w:ascii="Arial" w:hAnsi="Arial" w:cs="David"/>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מיצוי ההליכים</w:t>
      </w:r>
      <w:r w:rsidRPr="002015B0">
        <w:rPr>
          <w:rFonts w:ascii="Arial" w:hAnsi="Arial" w:cs="David"/>
          <w:rtl/>
        </w:rPr>
        <w:t xml:space="preserve">- עקרון במשפט המנהלי הקובע כי בטרם הפניה </w:t>
      </w:r>
      <w:proofErr w:type="spellStart"/>
      <w:r w:rsidRPr="002015B0">
        <w:rPr>
          <w:rFonts w:ascii="Arial" w:hAnsi="Arial" w:cs="David"/>
          <w:rtl/>
        </w:rPr>
        <w:t>לבג"צ</w:t>
      </w:r>
      <w:proofErr w:type="spellEnd"/>
      <w:r w:rsidRPr="002015B0">
        <w:rPr>
          <w:rFonts w:ascii="Arial" w:hAnsi="Arial" w:cs="David"/>
          <w:rtl/>
        </w:rPr>
        <w:t xml:space="preserve"> יש למצות את כל ההליכים האחרים בפני הרשות המנהלית, כלומר - פנייה בכתב לרשות והצגת הטענות בפניה ומתן הזדמנות לרשות לנמק את מעשיה או לתקנם. רק לאחר סירוב מצד הרשות או חוסר תגובה ניתן לפנות </w:t>
      </w:r>
      <w:proofErr w:type="spellStart"/>
      <w:r w:rsidRPr="002015B0">
        <w:rPr>
          <w:rFonts w:ascii="Arial" w:hAnsi="Arial" w:cs="David"/>
          <w:rtl/>
        </w:rPr>
        <w:t>לבג"צ</w:t>
      </w:r>
      <w:proofErr w:type="spellEnd"/>
      <w:r w:rsidRPr="002015B0">
        <w:rPr>
          <w:rFonts w:ascii="Arial" w:hAnsi="Arial" w:cs="David"/>
          <w:rtl/>
        </w:rPr>
        <w:t xml:space="preserve">. </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b/>
          <w:bCs/>
          <w:rtl/>
        </w:rPr>
        <w:t>שיהוי</w:t>
      </w:r>
      <w:r w:rsidRPr="002015B0">
        <w:rPr>
          <w:rFonts w:ascii="Arial" w:hAnsi="Arial" w:cs="David"/>
          <w:rtl/>
        </w:rPr>
        <w:t>- הימנעות מהגשת תביעה או עתירה בזמן הראוי לכך.</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ניקיון ידיים</w:t>
      </w:r>
      <w:r w:rsidRPr="002015B0">
        <w:rPr>
          <w:rFonts w:ascii="Arial" w:hAnsi="Arial" w:cs="David"/>
          <w:rtl/>
        </w:rPr>
        <w:t>- עקרון תום הלב בהליכים בפני בג"צ.</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זכות עמידה</w:t>
      </w:r>
      <w:r w:rsidRPr="002015B0">
        <w:rPr>
          <w:rFonts w:ascii="Arial" w:hAnsi="Arial" w:cs="David"/>
          <w:rtl/>
        </w:rPr>
        <w:t>- עקרון במשפט המנהלי הקובע כי רק אדם אשר אינטרס אישי שלו נפגע על-ידי מעשה או מחדל של רשויות השלטון יוכל לבוא בשעריו של בג"צ. בשנים האחרונות הורחבה זכות העמידה גם לעותרים אשר יצביעו על קיומו של אינטרס ציבורי שנפגע, כאשר העותרים הנם חלק מהציבור שנפגע ואשר חובת הרשות לפעול בנאמנות מכוונת גם כלפיהם.</w:t>
      </w:r>
    </w:p>
    <w:p w:rsidR="0045569A" w:rsidRPr="002015B0" w:rsidRDefault="0045569A" w:rsidP="002015B0">
      <w:pPr>
        <w:pStyle w:val="NormalWeb"/>
        <w:bidi/>
        <w:spacing w:beforeAutospacing="0" w:after="0" w:afterAutospacing="0"/>
        <w:ind w:right="113"/>
        <w:jc w:val="both"/>
        <w:rPr>
          <w:rFonts w:ascii="Arial" w:hAnsi="Arial" w:cs="David"/>
          <w:color w:val="FF0000"/>
          <w:rtl/>
        </w:rPr>
      </w:pPr>
      <w:r w:rsidRPr="002015B0">
        <w:rPr>
          <w:rFonts w:ascii="Arial" w:hAnsi="Arial" w:cs="David"/>
          <w:b/>
          <w:bCs/>
          <w:rtl/>
        </w:rPr>
        <w:t>דיון נוסף</w:t>
      </w:r>
      <w:r w:rsidRPr="002015B0">
        <w:rPr>
          <w:rFonts w:ascii="Arial" w:hAnsi="Arial" w:cs="David"/>
          <w:rtl/>
        </w:rPr>
        <w:t xml:space="preserve">- הליך ייחודי לבית המשפט העליון ובג"צ, ולפיו מתבקש בית המשפט או בג"צ, מטעמים מיוחדים הקשורים למורכבות או לחשיבות הסוגיה המשפטית שבפניו, לקיים דיון נוסף בהרכב אי-זוגי מורחב יותר של שופטים (5, 7, 9, או 11), במקום שלושה כנהוג. </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בשיעור זה המשכנו את הדיון על הרשות השופטת בישראל והתמקדנו בבית המשפט העליון בשבתו כבית משפט גבוה לצדק (</w:t>
      </w:r>
      <w:r w:rsidRPr="002015B0">
        <w:rPr>
          <w:rFonts w:ascii="Arial" w:hAnsi="Arial" w:cs="David"/>
          <w:b/>
          <w:bCs/>
          <w:rtl/>
        </w:rPr>
        <w:t>בג"צ</w:t>
      </w:r>
      <w:r w:rsidRPr="002015B0">
        <w:rPr>
          <w:rFonts w:ascii="Arial" w:hAnsi="Arial" w:cs="David"/>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נוכחנו לדעת כי בג"צ הוא בית המשפט המנהלי של מדינת ישראל והוא האחראי על פיתוח המשפט המנהלי במדינה ועל עיצוב דמותה של מדינת ישראל כמדינה חופשית ושוחרת צדק, שאזרחיה מוגנים מפני עריצות ושרירות לב שלטונית.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למדנו על השלבים השונים בהגשת עתירה </w:t>
      </w:r>
      <w:proofErr w:type="spellStart"/>
      <w:r w:rsidRPr="002015B0">
        <w:rPr>
          <w:rFonts w:ascii="Arial" w:hAnsi="Arial" w:cs="David"/>
          <w:rtl/>
        </w:rPr>
        <w:t>לבג"צ</w:t>
      </w:r>
      <w:proofErr w:type="spellEnd"/>
      <w:r w:rsidRPr="002015B0">
        <w:rPr>
          <w:rFonts w:ascii="Arial" w:hAnsi="Arial" w:cs="David"/>
          <w:rtl/>
        </w:rPr>
        <w:t xml:space="preserve">, החל מהבירור הראשוני על-ידי שופט אחד, שבו אפשר ויינתן </w:t>
      </w:r>
      <w:r w:rsidRPr="002015B0">
        <w:rPr>
          <w:rFonts w:ascii="Arial" w:hAnsi="Arial" w:cs="David"/>
          <w:b/>
          <w:bCs/>
          <w:rtl/>
        </w:rPr>
        <w:t>צו על תנאי</w:t>
      </w:r>
      <w:r w:rsidRPr="002015B0">
        <w:rPr>
          <w:rFonts w:ascii="Arial" w:hAnsi="Arial" w:cs="David"/>
          <w:rtl/>
        </w:rPr>
        <w:t xml:space="preserve"> (המחייב את הרשות המנהלית לנמק את צעדיה או את מחדליה שכנגדם הוגשה העתירה); המשך </w:t>
      </w:r>
      <w:r w:rsidRPr="002015B0">
        <w:rPr>
          <w:rFonts w:ascii="Arial" w:hAnsi="Arial" w:cs="David"/>
          <w:b/>
          <w:bCs/>
          <w:rtl/>
        </w:rPr>
        <w:t>בצו מוחלט</w:t>
      </w:r>
      <w:r w:rsidRPr="002015B0">
        <w:rPr>
          <w:rFonts w:ascii="Arial" w:hAnsi="Arial" w:cs="David"/>
          <w:rtl/>
        </w:rPr>
        <w:t xml:space="preserve"> (האוסר על הרשות לבצע צעדים </w:t>
      </w:r>
      <w:proofErr w:type="spellStart"/>
      <w:r w:rsidRPr="002015B0">
        <w:rPr>
          <w:rFonts w:ascii="Arial" w:hAnsi="Arial" w:cs="David"/>
          <w:rtl/>
        </w:rPr>
        <w:t>מסויימים</w:t>
      </w:r>
      <w:proofErr w:type="spellEnd"/>
      <w:r w:rsidRPr="002015B0">
        <w:rPr>
          <w:rFonts w:ascii="Arial" w:hAnsi="Arial" w:cs="David"/>
          <w:rtl/>
        </w:rPr>
        <w:t xml:space="preserve"> או המורה לה לפעול באופן מסוים); וכן  ראינו כי לעתים מלווה הדיון בעתירה </w:t>
      </w:r>
      <w:r w:rsidRPr="002015B0">
        <w:rPr>
          <w:rFonts w:ascii="Arial" w:hAnsi="Arial" w:cs="David"/>
          <w:b/>
          <w:bCs/>
          <w:rtl/>
        </w:rPr>
        <w:t>בצו ביניים</w:t>
      </w:r>
      <w:r w:rsidRPr="002015B0">
        <w:rPr>
          <w:rFonts w:ascii="Arial" w:hAnsi="Arial" w:cs="David"/>
          <w:rtl/>
        </w:rPr>
        <w:t xml:space="preserve"> מטעם בית המשפט, האוסר על הרשות לשנות את המצב הקיים בצעדים בלתי-הפיכים כל עוד מתנהל הדיון בעתירה.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לאחר שהבאנו מספר דוגמאות למקרים מפורסמים בהם התערב בג"צ בהחלטת הרשות המנהלית (בג"ץ קול העם, בג"ץ </w:t>
      </w:r>
      <w:proofErr w:type="spellStart"/>
      <w:r w:rsidRPr="002015B0">
        <w:rPr>
          <w:rFonts w:ascii="Arial" w:hAnsi="Arial" w:cs="David"/>
          <w:rtl/>
        </w:rPr>
        <w:t>ירדור</w:t>
      </w:r>
      <w:proofErr w:type="spellEnd"/>
      <w:r w:rsidRPr="002015B0">
        <w:rPr>
          <w:rFonts w:ascii="Arial" w:hAnsi="Arial" w:cs="David"/>
          <w:rtl/>
        </w:rPr>
        <w:t xml:space="preserve">, בג"ץ </w:t>
      </w:r>
      <w:proofErr w:type="spellStart"/>
      <w:r w:rsidRPr="002015B0">
        <w:rPr>
          <w:rFonts w:ascii="Arial" w:hAnsi="Arial" w:cs="David"/>
          <w:rtl/>
        </w:rPr>
        <w:t>דנילוביץ</w:t>
      </w:r>
      <w:proofErr w:type="spellEnd"/>
      <w:r w:rsidRPr="002015B0">
        <w:rPr>
          <w:rFonts w:ascii="Arial" w:hAnsi="Arial" w:cs="David"/>
          <w:rtl/>
        </w:rPr>
        <w:t xml:space="preserve">', בג"צ מילר ועוד), ולאחר שעמדנו על הוראותיו החשובות של חוק בתי משפט לעניינים מנהליים, התש"ס-2000, אשר העביר חלק מהעניינים המנהליים שנדונו בעבר </w:t>
      </w:r>
      <w:proofErr w:type="spellStart"/>
      <w:r w:rsidRPr="002015B0">
        <w:rPr>
          <w:rFonts w:ascii="Arial" w:hAnsi="Arial" w:cs="David"/>
          <w:rtl/>
        </w:rPr>
        <w:t>בבג"צ</w:t>
      </w:r>
      <w:proofErr w:type="spellEnd"/>
      <w:r w:rsidRPr="002015B0">
        <w:rPr>
          <w:rFonts w:ascii="Arial" w:hAnsi="Arial" w:cs="David"/>
          <w:rtl/>
        </w:rPr>
        <w:t xml:space="preserve"> אל בתי המשפט המחוזיים בשבתם כבתי משפט לעניינים מנהליים, התחלנו לדון בעילות השונות לתקיפתו של המעשה המנהלי </w:t>
      </w:r>
      <w:proofErr w:type="spellStart"/>
      <w:r w:rsidRPr="002015B0">
        <w:rPr>
          <w:rFonts w:ascii="Arial" w:hAnsi="Arial" w:cs="David"/>
          <w:rtl/>
        </w:rPr>
        <w:t>בבג"צ</w:t>
      </w:r>
      <w:proofErr w:type="spellEnd"/>
      <w:r w:rsidRPr="002015B0">
        <w:rPr>
          <w:rFonts w:ascii="Arial" w:hAnsi="Arial" w:cs="David"/>
          <w:rtl/>
        </w:rPr>
        <w:t xml:space="preserve"> והעילות להתערבותו של בג"צ בהחלטתה של הרשות המנהלית. </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rtl/>
        </w:rPr>
        <w:t xml:space="preserve">בעניין זה שוחחנו על עילות </w:t>
      </w:r>
      <w:r w:rsidRPr="002015B0">
        <w:rPr>
          <w:rFonts w:ascii="Arial" w:hAnsi="Arial" w:cs="David"/>
          <w:b/>
          <w:bCs/>
          <w:rtl/>
        </w:rPr>
        <w:t>חוסר הסמכות והחריגה מסמכות</w:t>
      </w:r>
      <w:r w:rsidRPr="002015B0">
        <w:rPr>
          <w:rFonts w:ascii="Arial" w:hAnsi="Arial" w:cs="David"/>
          <w:rtl/>
        </w:rPr>
        <w:t>, אשר מובילות לבטלותו המוחלטת של המעשה המנהלי (זאת כיוון שמעשה של הרשות שנעשה בחוסר סמכות או בחריגה ממנה הנו בטל מעיקרו (</w:t>
      </w:r>
      <w:r w:rsidRPr="002015B0">
        <w:rPr>
          <w:rFonts w:ascii="Arial" w:hAnsi="Arial" w:cs="David"/>
        </w:rPr>
        <w:t>Void</w:t>
      </w:r>
      <w:r w:rsidRPr="002015B0">
        <w:rPr>
          <w:rFonts w:ascii="Arial" w:hAnsi="Arial" w:cs="David"/>
          <w:rtl/>
        </w:rPr>
        <w:t xml:space="preserve">). זהו פגם היורד לשורשו של המעשה); וכן שוחחנו על עילות נוספות לתקיפת המעשה המנהלי, כגון: </w:t>
      </w:r>
      <w:r w:rsidRPr="002015B0">
        <w:rPr>
          <w:rFonts w:ascii="Arial" w:hAnsi="Arial" w:cs="David"/>
          <w:b/>
          <w:bCs/>
          <w:rtl/>
        </w:rPr>
        <w:t>חוסר סבירות</w:t>
      </w:r>
      <w:r w:rsidRPr="002015B0">
        <w:rPr>
          <w:rFonts w:ascii="Arial" w:hAnsi="Arial" w:cs="David"/>
          <w:rtl/>
        </w:rPr>
        <w:t xml:space="preserve">, </w:t>
      </w:r>
      <w:r w:rsidRPr="002015B0">
        <w:rPr>
          <w:rFonts w:ascii="Arial" w:hAnsi="Arial" w:cs="David"/>
          <w:b/>
          <w:bCs/>
          <w:rtl/>
        </w:rPr>
        <w:t>חוסר מידתיות ואפליה</w:t>
      </w:r>
      <w:r w:rsidRPr="002015B0">
        <w:rPr>
          <w:rFonts w:ascii="Arial" w:hAnsi="Arial" w:cs="David"/>
          <w:rtl/>
        </w:rPr>
        <w:t>, אשר בהתקיים מעשים של הרשות המנהלית שנעשו בחוסר סבירות, בחוסר מידתיות, או באפליה, ההלכה היא כי אותם מעשים אינם בטלים מעיקרם, אלא ניתנים לביטול (</w:t>
      </w:r>
      <w:r w:rsidRPr="002015B0">
        <w:rPr>
          <w:rFonts w:ascii="Arial" w:hAnsi="Arial" w:cs="David"/>
        </w:rPr>
        <w:t>Voidable</w:t>
      </w:r>
      <w:r w:rsidRPr="002015B0">
        <w:rPr>
          <w:rFonts w:ascii="Arial" w:hAnsi="Arial" w:cs="David"/>
          <w:rtl/>
        </w:rPr>
        <w:t>). דהיינו - הם תקפים כל עוד לא בוטלו על-ידי בית המשפט.</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lastRenderedPageBreak/>
        <w:t xml:space="preserve">בתום הדיון על עילות התקיפה של המעשה המנהלי עמדנו גם על הסייגים שבהם ימנע בג"צ מלהושיט יד לעותר, ובעניין זה הכרנו מושגים חשובים מתחום המשפט המנהלי: </w:t>
      </w:r>
      <w:r w:rsidRPr="002015B0">
        <w:rPr>
          <w:rFonts w:ascii="Arial" w:hAnsi="Arial" w:cs="David"/>
          <w:b/>
          <w:bCs/>
          <w:rtl/>
        </w:rPr>
        <w:t>עקרון מיצוי ההליכים</w:t>
      </w:r>
      <w:r w:rsidRPr="002015B0">
        <w:rPr>
          <w:rFonts w:ascii="Arial" w:hAnsi="Arial" w:cs="David"/>
          <w:rtl/>
        </w:rPr>
        <w:t xml:space="preserve"> (אשר מחייב את העותר למצות את כל ההליכים האחרים בפני הרשות המנהלית בטרם הוא פונה </w:t>
      </w:r>
      <w:proofErr w:type="spellStart"/>
      <w:r w:rsidRPr="002015B0">
        <w:rPr>
          <w:rFonts w:ascii="Arial" w:hAnsi="Arial" w:cs="David"/>
          <w:rtl/>
        </w:rPr>
        <w:t>לבג"צ</w:t>
      </w:r>
      <w:proofErr w:type="spellEnd"/>
      <w:r w:rsidRPr="002015B0">
        <w:rPr>
          <w:rFonts w:ascii="Arial" w:hAnsi="Arial" w:cs="David"/>
          <w:rtl/>
        </w:rPr>
        <w:t xml:space="preserve">); </w:t>
      </w:r>
      <w:r w:rsidRPr="002015B0">
        <w:rPr>
          <w:rFonts w:ascii="Arial" w:hAnsi="Arial" w:cs="David"/>
          <w:b/>
          <w:bCs/>
          <w:rtl/>
        </w:rPr>
        <w:t>עקרון השיהוי</w:t>
      </w:r>
      <w:r w:rsidRPr="002015B0">
        <w:rPr>
          <w:rFonts w:ascii="Arial" w:hAnsi="Arial" w:cs="David"/>
          <w:rtl/>
        </w:rPr>
        <w:t xml:space="preserve"> (אשר קובע כי בג"צ לא ידון בעתירה אשר העותר השתהה בהגשתה); </w:t>
      </w:r>
      <w:r w:rsidRPr="002015B0">
        <w:rPr>
          <w:rFonts w:ascii="Arial" w:hAnsi="Arial" w:cs="David"/>
          <w:b/>
          <w:bCs/>
          <w:rtl/>
        </w:rPr>
        <w:t>עקרון ניקיון הכפיים</w:t>
      </w:r>
      <w:r w:rsidRPr="002015B0">
        <w:rPr>
          <w:rFonts w:ascii="Arial" w:hAnsi="Arial" w:cs="David"/>
          <w:rtl/>
        </w:rPr>
        <w:t xml:space="preserve"> (אשר מחייב אדם המגיש עתירה </w:t>
      </w:r>
      <w:proofErr w:type="spellStart"/>
      <w:r w:rsidRPr="002015B0">
        <w:rPr>
          <w:rFonts w:ascii="Arial" w:hAnsi="Arial" w:cs="David"/>
          <w:rtl/>
        </w:rPr>
        <w:t>לבג"צ</w:t>
      </w:r>
      <w:proofErr w:type="spellEnd"/>
      <w:r w:rsidRPr="002015B0">
        <w:rPr>
          <w:rFonts w:ascii="Arial" w:hAnsi="Arial" w:cs="David"/>
          <w:rtl/>
        </w:rPr>
        <w:t xml:space="preserve"> לנהוג בתום לב, הן בעת הן ביחסיו עם הרשות השלטונית והן בעת הפניה </w:t>
      </w:r>
      <w:proofErr w:type="spellStart"/>
      <w:r w:rsidRPr="002015B0">
        <w:rPr>
          <w:rFonts w:ascii="Arial" w:hAnsi="Arial" w:cs="David"/>
          <w:rtl/>
        </w:rPr>
        <w:t>לבג"צ</w:t>
      </w:r>
      <w:proofErr w:type="spellEnd"/>
      <w:r w:rsidRPr="002015B0">
        <w:rPr>
          <w:rFonts w:ascii="Arial" w:hAnsi="Arial" w:cs="David"/>
          <w:rtl/>
        </w:rPr>
        <w:t xml:space="preserve">); </w:t>
      </w:r>
      <w:r w:rsidRPr="002015B0">
        <w:rPr>
          <w:rFonts w:ascii="Arial" w:hAnsi="Arial" w:cs="David"/>
          <w:b/>
          <w:bCs/>
          <w:rtl/>
        </w:rPr>
        <w:t>וזכות העמידה</w:t>
      </w:r>
      <w:r w:rsidRPr="002015B0">
        <w:rPr>
          <w:rFonts w:ascii="Arial" w:hAnsi="Arial" w:cs="David"/>
          <w:rtl/>
        </w:rPr>
        <w:t xml:space="preserve"> (לפיה על-מנת שעותר יוכל להגיש עתירה </w:t>
      </w:r>
      <w:proofErr w:type="spellStart"/>
      <w:r w:rsidRPr="002015B0">
        <w:rPr>
          <w:rFonts w:ascii="Arial" w:hAnsi="Arial" w:cs="David"/>
          <w:rtl/>
        </w:rPr>
        <w:t>לבג"צ</w:t>
      </w:r>
      <w:proofErr w:type="spellEnd"/>
      <w:r w:rsidRPr="002015B0">
        <w:rPr>
          <w:rFonts w:ascii="Arial" w:hAnsi="Arial" w:cs="David"/>
          <w:rtl/>
        </w:rPr>
        <w:t xml:space="preserve"> עליו להצביע על קיומו של אינטרס אישי שלו שנפגע) וההרחבה לזכות זאת.</w:t>
      </w:r>
    </w:p>
    <w:p w:rsidR="0045569A" w:rsidRPr="002015B0" w:rsidRDefault="0045569A" w:rsidP="002015B0">
      <w:pPr>
        <w:pStyle w:val="NormalWeb"/>
        <w:bidi/>
        <w:spacing w:beforeAutospacing="0" w:after="0" w:afterAutospacing="0"/>
        <w:ind w:right="113"/>
        <w:jc w:val="both"/>
        <w:rPr>
          <w:rFonts w:ascii="Arial" w:hAnsi="Arial" w:cs="David"/>
        </w:rPr>
      </w:pPr>
      <w:r w:rsidRPr="002015B0">
        <w:rPr>
          <w:rFonts w:ascii="Arial" w:hAnsi="Arial" w:cs="David"/>
          <w:rtl/>
        </w:rPr>
        <w:t>לסיום הדיון בעניין בג"צ עסקנו בסוגיית "</w:t>
      </w:r>
      <w:r w:rsidRPr="002015B0">
        <w:rPr>
          <w:rFonts w:ascii="Arial" w:hAnsi="Arial" w:cs="David"/>
          <w:b/>
          <w:bCs/>
          <w:rtl/>
        </w:rPr>
        <w:t>הדיון הנוסף</w:t>
      </w:r>
      <w:r w:rsidRPr="002015B0">
        <w:rPr>
          <w:rFonts w:ascii="Arial" w:hAnsi="Arial" w:cs="David"/>
          <w:rtl/>
        </w:rPr>
        <w:t>", במסגרתה ראינו כי באותם מקרים נדירים שבהם ההלכה שנפסקה בבית המשפט העליון עומדת בסתירה להלכה קודמת של בית המשפט העליון, או שהיא חשובה ביותר, או שהיא קשה, או שהיא מחדשת הלכה, כי אז בית המשפט שנתן את פסק-הדין או נשיא בית המשפט העליון רשאים להורות על קיומו של דיון נוסף באותו משפט, או בחלק מהסוגיות בלבד שעלו באותו משפט, בהרכב מורחב של 5 שופטים או מספר אי-זוגי גבוה יותר.</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7: </w:t>
      </w:r>
      <w:r w:rsidRPr="002015B0">
        <w:rPr>
          <w:rFonts w:ascii="Arial" w:eastAsia="Times New Roman" w:hAnsi="Arial" w:cs="David"/>
          <w:b/>
          <w:bCs/>
          <w:sz w:val="24"/>
          <w:szCs w:val="24"/>
          <w:u w:val="single"/>
          <w:rtl/>
        </w:rPr>
        <w:t>מבוא לדיני חוזים (חלק א')</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חוזה</w:t>
      </w:r>
      <w:r w:rsidRPr="002015B0">
        <w:rPr>
          <w:rFonts w:ascii="Arial" w:hAnsi="Arial" w:cs="David"/>
          <w:rtl/>
        </w:rPr>
        <w:t xml:space="preserve">- הסכם שהצדדים לו מתחייבים לפעול על-פיו וכי הוא יחייב אותם מבחינה משפטית, וכן במקרה של </w:t>
      </w:r>
      <w:r w:rsidR="002015B0">
        <w:rPr>
          <w:rFonts w:ascii="Arial" w:hAnsi="Arial" w:cs="David"/>
          <w:rtl/>
        </w:rPr>
        <w:t>הפרתו</w:t>
      </w:r>
      <w:r w:rsidRPr="002015B0">
        <w:rPr>
          <w:rFonts w:ascii="Arial" w:hAnsi="Arial" w:cs="David"/>
          <w:rtl/>
        </w:rPr>
        <w:t>- הוא יהיה ניתן לאכיפה על-ידי בית המשפט.</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גמירת דעת</w:t>
      </w:r>
      <w:r w:rsidRPr="002015B0">
        <w:rPr>
          <w:rFonts w:ascii="Arial" w:hAnsi="Arial" w:cs="David"/>
          <w:rtl/>
        </w:rPr>
        <w:t xml:space="preserve">- מרכיב מרכזי בדיני החוזים בישראל אשר משמעותו "כוונה רצינית והחלטית ליצירת יחסים משפטיים מחייבים". זהו המבחן לבדיקה האם נכרת חוזה בין הצדדים.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מבחן האדם הסביר/מבחן האדם מן הישוב</w:t>
      </w:r>
      <w:r w:rsidRPr="002015B0">
        <w:rPr>
          <w:rFonts w:ascii="Arial" w:hAnsi="Arial" w:cs="David"/>
          <w:rtl/>
        </w:rPr>
        <w:t xml:space="preserve">- מבחן המשמש את בתי המשפט לבדיקת משמעותה של התנהגות </w:t>
      </w:r>
      <w:proofErr w:type="spellStart"/>
      <w:r w:rsidRPr="002015B0">
        <w:rPr>
          <w:rFonts w:ascii="Arial" w:hAnsi="Arial" w:cs="David"/>
          <w:rtl/>
        </w:rPr>
        <w:t>מסויימת</w:t>
      </w:r>
      <w:proofErr w:type="spellEnd"/>
      <w:r w:rsidRPr="002015B0">
        <w:rPr>
          <w:rFonts w:ascii="Arial" w:hAnsi="Arial" w:cs="David"/>
          <w:rtl/>
        </w:rPr>
        <w:t xml:space="preserve"> ואת עמידתה בסטנדרט משפטי רצוי. המבחן בודק כיצד אדם סביר דמיוני (שאיננו לפיכך צד להליך המשפטי), אשר היה מביט על הסיטואציה המשפטית "מבחוץ", היה מתרשם על המתרחש באותה סיטואציה. מבחן זה ידוע גם כמבחן האובייקטיבי.</w:t>
      </w:r>
    </w:p>
    <w:p w:rsidR="0045569A" w:rsidRPr="002015B0" w:rsidRDefault="0045569A" w:rsidP="002015B0">
      <w:pPr>
        <w:pStyle w:val="NormalWeb"/>
        <w:bidi/>
        <w:spacing w:beforeAutospacing="0" w:after="0" w:afterAutospacing="0"/>
        <w:ind w:right="113"/>
        <w:jc w:val="both"/>
        <w:rPr>
          <w:rFonts w:ascii="Arial" w:hAnsi="Arial" w:cs="David"/>
          <w:rtl/>
        </w:rPr>
      </w:pPr>
      <w:proofErr w:type="spellStart"/>
      <w:r w:rsidRPr="002015B0">
        <w:rPr>
          <w:rFonts w:ascii="Arial" w:hAnsi="Arial" w:cs="David"/>
          <w:b/>
          <w:bCs/>
          <w:rtl/>
        </w:rPr>
        <w:t>מסויימות</w:t>
      </w:r>
      <w:proofErr w:type="spellEnd"/>
      <w:r w:rsidRPr="002015B0">
        <w:rPr>
          <w:rFonts w:ascii="Arial" w:hAnsi="Arial" w:cs="David"/>
          <w:rtl/>
        </w:rPr>
        <w:t>- הסכמת הצדדים לחוזה על הפרטים המהותיים-החיוניים של העסקה, אך לאו דווקא על מלוא פרטיה. כלומר, האם היה סיכום ספציפי בין הצדדים המלמד על מהותו של החוזה.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כריתת חוזה</w:t>
      </w:r>
      <w:r w:rsidRPr="002015B0">
        <w:rPr>
          <w:rFonts w:ascii="Arial" w:hAnsi="Arial" w:cs="David"/>
          <w:rtl/>
        </w:rPr>
        <w:t>- עריכת חוזה. עשיית חוזה.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תורת המסירה</w:t>
      </w:r>
      <w:r w:rsidRPr="002015B0">
        <w:rPr>
          <w:rFonts w:ascii="Arial" w:hAnsi="Arial" w:cs="David"/>
          <w:rtl/>
        </w:rPr>
        <w:t>- דוקטרינה משפטית לפיה הקיבול מתבצע בזמן מסירת הודעת הקיבול למציע (בניגוד לרגע משלוח הודעת הקיבול על-ידי הניצע ובניגוד לרגע שבו הודעת הקיבול מובאת לידיעתו של המציע).</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b/>
          <w:bCs/>
          <w:rtl/>
        </w:rPr>
        <w:t>הצעה</w:t>
      </w:r>
      <w:r w:rsidR="0045569A" w:rsidRPr="002015B0">
        <w:rPr>
          <w:rFonts w:ascii="Arial" w:hAnsi="Arial" w:cs="David"/>
          <w:rtl/>
        </w:rPr>
        <w:t xml:space="preserve">- פניה של אדם לחברו להתקשר עמו בחוזה. הפניה צריכה להעיד על גמירת דעתו של המציע להתקשר עם הניצע בחוזה, וכן היא צריכה להיות מספיק </w:t>
      </w:r>
      <w:proofErr w:type="spellStart"/>
      <w:r w:rsidR="0045569A" w:rsidRPr="002015B0">
        <w:rPr>
          <w:rFonts w:ascii="Arial" w:hAnsi="Arial" w:cs="David"/>
          <w:rtl/>
        </w:rPr>
        <w:t>מסויימת</w:t>
      </w:r>
      <w:proofErr w:type="spellEnd"/>
      <w:r w:rsidR="0045569A" w:rsidRPr="002015B0">
        <w:rPr>
          <w:rFonts w:ascii="Arial" w:hAnsi="Arial" w:cs="David"/>
          <w:rtl/>
        </w:rPr>
        <w:t xml:space="preserve"> - כך שתהיה אפשרות לכרות את החוזה בקיבול ההצעה.</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b/>
          <w:bCs/>
          <w:rtl/>
        </w:rPr>
        <w:t>הזמנה להציע הצעות</w:t>
      </w:r>
      <w:r w:rsidR="0045569A" w:rsidRPr="002015B0">
        <w:rPr>
          <w:rFonts w:ascii="Arial" w:hAnsi="Arial" w:cs="David"/>
          <w:rtl/>
        </w:rPr>
        <w:t>- פניה שאינה מעידה על גמירת דעתו של המציע או שאינה מסוימת דיה. זוהי פניה מוקדמת להצעה, במסגרתה מזמין מבקש החוזה גורמים אחרים להציע לו הצעות להתקשר בחוזה. דרך זאת שמישה בעיקר בחוזים מסוג מכרזים.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הצעה בלתי-</w:t>
      </w:r>
      <w:r w:rsidR="002015B0">
        <w:rPr>
          <w:rFonts w:ascii="Arial" w:hAnsi="Arial" w:cs="David" w:hint="cs"/>
          <w:b/>
          <w:bCs/>
          <w:rtl/>
        </w:rPr>
        <w:t xml:space="preserve"> </w:t>
      </w:r>
      <w:r w:rsidRPr="002015B0">
        <w:rPr>
          <w:rFonts w:ascii="Arial" w:hAnsi="Arial" w:cs="David"/>
          <w:b/>
          <w:bCs/>
          <w:rtl/>
        </w:rPr>
        <w:t>חוזרת</w:t>
      </w:r>
      <w:r w:rsidRPr="002015B0">
        <w:rPr>
          <w:rFonts w:ascii="Arial" w:hAnsi="Arial" w:cs="David"/>
          <w:rtl/>
        </w:rPr>
        <w:t>- הצעה שבה המציע מגביל את יכולתו לחזור בו מהצעתו.</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b/>
          <w:bCs/>
          <w:rtl/>
        </w:rPr>
        <w:t>הצעה לציבור</w:t>
      </w:r>
      <w:r w:rsidR="0045569A" w:rsidRPr="002015B0">
        <w:rPr>
          <w:rFonts w:ascii="Arial" w:hAnsi="Arial" w:cs="David"/>
          <w:rtl/>
        </w:rPr>
        <w:t xml:space="preserve">- הצעה אשר מופנית לציבור בכללותו, להבדיל מאדם אחד או מקבוצה מוגדרת </w:t>
      </w:r>
      <w:proofErr w:type="spellStart"/>
      <w:r w:rsidR="0045569A" w:rsidRPr="002015B0">
        <w:rPr>
          <w:rFonts w:ascii="Arial" w:hAnsi="Arial" w:cs="David"/>
          <w:rtl/>
        </w:rPr>
        <w:t>ומסויימת</w:t>
      </w:r>
      <w:proofErr w:type="spellEnd"/>
      <w:r w:rsidR="0045569A" w:rsidRPr="002015B0">
        <w:rPr>
          <w:rFonts w:ascii="Arial" w:hAnsi="Arial" w:cs="David"/>
          <w:rtl/>
        </w:rPr>
        <w:t xml:space="preserve"> של בני אדם.</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חוזה אופציה</w:t>
      </w:r>
      <w:r w:rsidRPr="002015B0">
        <w:rPr>
          <w:rFonts w:ascii="Arial" w:hAnsi="Arial" w:cs="David"/>
          <w:rtl/>
        </w:rPr>
        <w:t>- חוזה בין שני צדדים במסגרתו מעניק אחד הצדדים לצד השני זכות לממש/לרכוש/למכור זכות ו/או נכס כלשהם תמורת מחיר קבוע וידוע מראש ובמועד קבוע וידוע מראש.</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b/>
          <w:bCs/>
          <w:rtl/>
        </w:rPr>
        <w:t>קיבול</w:t>
      </w:r>
      <w:r w:rsidRPr="002015B0">
        <w:rPr>
          <w:rFonts w:ascii="Arial" w:hAnsi="Arial" w:cs="David"/>
          <w:rtl/>
        </w:rPr>
        <w:t>- הודעה של הניצע שנמסרת למציע ושמעידה על גמירת דעתו של הניצע להתקשר עם המציע בחוזה לפי ההצעה.</w:t>
      </w:r>
    </w:p>
    <w:p w:rsidR="0045569A" w:rsidRPr="002015B0" w:rsidRDefault="002015B0" w:rsidP="002015B0">
      <w:pPr>
        <w:pStyle w:val="NormalWeb"/>
        <w:bidi/>
        <w:spacing w:beforeAutospacing="0" w:after="0" w:afterAutospacing="0"/>
        <w:ind w:right="113"/>
        <w:jc w:val="both"/>
        <w:rPr>
          <w:rFonts w:ascii="Arial" w:hAnsi="Arial" w:cs="David"/>
          <w:rtl/>
        </w:rPr>
      </w:pPr>
      <w:r>
        <w:rPr>
          <w:rFonts w:ascii="Arial" w:hAnsi="Arial" w:cs="David"/>
          <w:b/>
          <w:bCs/>
          <w:rtl/>
        </w:rPr>
        <w:t>זמן סביר</w:t>
      </w:r>
      <w:r w:rsidR="0045569A" w:rsidRPr="002015B0">
        <w:rPr>
          <w:rFonts w:ascii="Arial" w:hAnsi="Arial" w:cs="David"/>
          <w:rtl/>
        </w:rPr>
        <w:t>- תקופת זמן שאיננה מוגדרת ואיננה קבועה אשר נבחנת על-פי נסיבות העניין, לרבות: נוהגי המסחר, התנהגות ומגעים קודמים בין הצדדים, נשוא החוזה ומטרתו, סוג הניצע ועוד.</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בשיעור זה התחלנו את הדיון על דיני החוזים של מדינת ישראל. עמדנו על-כך כי מדובר בפרק מבוא בלבד, הכולל רק את הסוגיות העיקריות בדיני החוזים, תוך ניסיון לתת "טעימה" קצרה בלבד על דיני החוזים בישראל, אשר מהווים דין מהותי רחב היקף.</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השיעור ייחדנו לסקירת פרק א' לחוק החוזים (חלק כללי), התשל"ג-1973, אשר עוסק בכריתת החוזה ("כריתת חוזה" היא המינוח המשפטי לפעולת עשיית החוזה). אולם עוד קודם לכן הכרנו שני מושגים חשובים ורלוונטיים לשלב כריתת החוזה: "גמירת הדעת" - אשר משמשת מרכיב מרכזי בדיני החוזים בישראל לבדיקה האם נכרת חוזה בין הצדדים; </w:t>
      </w:r>
      <w:proofErr w:type="spellStart"/>
      <w:r w:rsidRPr="002015B0">
        <w:rPr>
          <w:rFonts w:ascii="Arial" w:hAnsi="Arial" w:cs="David"/>
          <w:rtl/>
        </w:rPr>
        <w:t>וה"מסוימות</w:t>
      </w:r>
      <w:proofErr w:type="spellEnd"/>
      <w:r w:rsidRPr="002015B0">
        <w:rPr>
          <w:rFonts w:ascii="Arial" w:hAnsi="Arial" w:cs="David"/>
          <w:rtl/>
        </w:rPr>
        <w:t>" - אשר בוחנת האם הצדדים לחוזה אכן הסכימו על הפרטים המהותיים-החיוניים של העסקה.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בתחילת הדיון בסוגיית כריתת החוזה ראינו כי "חוזה נכרת בדרך של הצעה וקיבול" (סעיף 1 לחוק החוזים). כלומר על צד אחד </w:t>
      </w:r>
      <w:r w:rsidRPr="002015B0">
        <w:rPr>
          <w:rFonts w:ascii="Arial" w:hAnsi="Arial" w:cs="David"/>
          <w:b/>
          <w:bCs/>
          <w:rtl/>
        </w:rPr>
        <w:t>להציע</w:t>
      </w:r>
      <w:r w:rsidRPr="002015B0">
        <w:rPr>
          <w:rFonts w:ascii="Arial" w:hAnsi="Arial" w:cs="David"/>
          <w:rtl/>
        </w:rPr>
        <w:t xml:space="preserve"> הצעה ועל הצד השני </w:t>
      </w:r>
      <w:r w:rsidRPr="002015B0">
        <w:rPr>
          <w:rFonts w:ascii="Arial" w:hAnsi="Arial" w:cs="David"/>
          <w:b/>
          <w:bCs/>
          <w:rtl/>
        </w:rPr>
        <w:t>לקבל</w:t>
      </w:r>
      <w:r w:rsidRPr="002015B0">
        <w:rPr>
          <w:rFonts w:ascii="Arial" w:hAnsi="Arial" w:cs="David"/>
          <w:rtl/>
        </w:rPr>
        <w:t xml:space="preserve"> את ההצעה. בעניין זה שאלנו את השאלה - מתי מתבצע הקיבול? ונוכחנו לדעת כי המחוקק הישראלי בחר בדוקטרינת "תורת המסירה", לפיה הקיבול מתרחש והחוזה נכרת ברגע שהודעת הקיבול נמסרה למציע.</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לאחר מכן עמדנו על-</w:t>
      </w:r>
      <w:r w:rsidR="002015B0">
        <w:rPr>
          <w:rFonts w:ascii="Arial" w:hAnsi="Arial" w:cs="David" w:hint="cs"/>
          <w:rtl/>
        </w:rPr>
        <w:t xml:space="preserve"> </w:t>
      </w:r>
      <w:r w:rsidRPr="002015B0">
        <w:rPr>
          <w:rFonts w:ascii="Arial" w:hAnsi="Arial" w:cs="David"/>
          <w:rtl/>
        </w:rPr>
        <w:t>כך כי אין חובה לפיה יהיה החוזה בכתב (למעט במקרים מיוחדים), וכי בפועל ניתן לכרות חוזה בעל פה, בכתב או בכל צורה אחרת.</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כאשר דיברנו על "הצעה" עמדנו על היבטים שונים המתייחסים להצעות: הגדרנו "הצעה" כפניה של אדם לחברו להתקשר עמו בחוזה, כאשר הפניה צריכה להעיד על גמירת דעתו של המציע להתקשר עם הניצע בחוזה, וכן כי היא צריכה להיות מספיק </w:t>
      </w:r>
      <w:proofErr w:type="spellStart"/>
      <w:r w:rsidRPr="002015B0">
        <w:rPr>
          <w:rFonts w:ascii="Arial" w:hAnsi="Arial" w:cs="David"/>
          <w:rtl/>
        </w:rPr>
        <w:t>מסויימת</w:t>
      </w:r>
      <w:proofErr w:type="spellEnd"/>
      <w:r w:rsidRPr="002015B0">
        <w:rPr>
          <w:rFonts w:ascii="Arial" w:hAnsi="Arial" w:cs="David"/>
          <w:rtl/>
        </w:rPr>
        <w:t xml:space="preserve"> - כך שתהיה אפשרות לכרות את החוזה בקיבול ההצעה.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הגדרנו "הזמנה להציע הצעות" כפניה מוקדמת להצעה, במסגרתה מזמין מבקש החוזה גורמים אחדים להציע לו הצעות להתקשר בחוזה, דרך בה משתמשים בעיקר בחוזים מסוג מכרזים;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עמדנו על הדרכים לחזרה מהצעה ומהצעה בלתי-חוזרת. </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lastRenderedPageBreak/>
        <w:t>כאשר שוחחנו על "חוזה אופציה" ראינו כי מדובר בחוזה מחייב שתוקפו נובע מהסכמת הצדדים לו, אשר במסגרתו מקבל אחד הצדדים ברירה (אופציה) לממש זכות כלשהי. בעניין זה עמדנו על כך שחוזה אופציה הוא חוזה מחייב שתקף מרגע כריתתו, אך פעיל רק כאשר מומשה האופציה; ולעומת זאת - הצעה בלתי חוזרת היא התחייבות חד צדדית שאינה מגיעה כדי הסכם מחייב, והיא תקפה מרגע שנודע עליה לניצע.</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לסיכום סוגיית ה"הצעה" ראינו כי ההצעה יכולה להיות מופנית גם לציבור בכללותו, ולא דווקא לאדם </w:t>
      </w:r>
      <w:proofErr w:type="spellStart"/>
      <w:r w:rsidRPr="002015B0">
        <w:rPr>
          <w:rFonts w:ascii="Arial" w:hAnsi="Arial" w:cs="David"/>
          <w:rtl/>
        </w:rPr>
        <w:t>מסויים</w:t>
      </w:r>
      <w:proofErr w:type="spellEnd"/>
      <w:r w:rsidRPr="002015B0">
        <w:rPr>
          <w:rFonts w:ascii="Arial" w:hAnsi="Arial" w:cs="David"/>
          <w:rtl/>
        </w:rPr>
        <w:t xml:space="preserve"> או לקבוצת אנשים </w:t>
      </w:r>
      <w:proofErr w:type="spellStart"/>
      <w:r w:rsidRPr="002015B0">
        <w:rPr>
          <w:rFonts w:ascii="Arial" w:hAnsi="Arial" w:cs="David"/>
          <w:rtl/>
        </w:rPr>
        <w:t>מסויימת</w:t>
      </w:r>
      <w:proofErr w:type="spellEnd"/>
      <w:r w:rsidRPr="002015B0">
        <w:rPr>
          <w:rFonts w:ascii="Arial" w:hAnsi="Arial" w:cs="David"/>
          <w:rtl/>
        </w:rPr>
        <w:t xml:space="preserve"> ומוגדרת, וכן עמדנו על המקרים בהם תפקע ההצעה.</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את השיעור הנוכחי סיימנו בדיון בסוגיית הקיבול. הגדרנו "קיבול" כהודעה של הניצע שנמסרת למציע ושמעידה על גמירת דעתו של הניצע להתקשר עם המציע בחוזה לפי ההצעה. כן עמדנו על כך שהודעת הקיבול צריכה להינתן בתוך הזמן שהוגדר לכך בהצעה, ואם לא הוגדר כן בהצעה - אז תוך "זמן סביר" (תקופת זמן שאיננה מוגדרת ואיננה קבועה אשר נבחנת על-פי נסיבות העניין, לרבות: נוהגי המסחר, התנהגות ומגעים קודמים בין הצדדים, נשוא החוזה ומטרתו, סוג הניצע ועוד).</w:t>
      </w:r>
    </w:p>
    <w:p w:rsidR="0045569A" w:rsidRPr="002015B0" w:rsidRDefault="0045569A" w:rsidP="002015B0">
      <w:pPr>
        <w:pStyle w:val="NormalWeb"/>
        <w:bidi/>
        <w:spacing w:beforeAutospacing="0" w:after="0" w:afterAutospacing="0"/>
        <w:ind w:right="113"/>
        <w:jc w:val="both"/>
        <w:rPr>
          <w:rFonts w:ascii="Arial" w:hAnsi="Arial" w:cs="David"/>
          <w:rtl/>
        </w:rPr>
      </w:pPr>
      <w:r w:rsidRPr="002015B0">
        <w:rPr>
          <w:rFonts w:ascii="Arial" w:hAnsi="Arial" w:cs="David"/>
          <w:rtl/>
        </w:rPr>
        <w:t xml:space="preserve">לסיום יחידת לימוד נוכחית זאת עמדנו על האופן שבו הניצע רשאי לחזור בו מן הקיבול, וכן ראינו כי באותם מקרים שבהם הקיבול שניתן הכיל תוספת, הגבלה או שינוי אחר לעומת ההצעה, הרי שיראו אותו כהצעה חדשה.  </w:t>
      </w:r>
    </w:p>
    <w:p w:rsidR="0045569A" w:rsidRPr="002015B0" w:rsidRDefault="0045569A" w:rsidP="002015B0">
      <w:pPr>
        <w:pStyle w:val="NormalWeb"/>
        <w:bidi/>
        <w:spacing w:beforeAutospacing="0" w:after="0" w:afterAutospacing="0"/>
        <w:ind w:left="113" w:right="113"/>
        <w:jc w:val="both"/>
        <w:rPr>
          <w:rFonts w:ascii="Arial" w:hAnsi="Arial" w:cs="David"/>
          <w:rtl/>
        </w:rPr>
      </w:pP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ascii="Arial" w:eastAsia="Times New Roman" w:hAnsi="Arial"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8: </w:t>
      </w:r>
      <w:r w:rsidRPr="002015B0">
        <w:rPr>
          <w:rFonts w:ascii="Arial" w:eastAsia="Times New Roman" w:hAnsi="Arial" w:cs="David"/>
          <w:b/>
          <w:bCs/>
          <w:sz w:val="24"/>
          <w:szCs w:val="24"/>
          <w:u w:val="single"/>
          <w:rtl/>
        </w:rPr>
        <w:t>מבוא לדיני חוזים (חלק ב')</w:t>
      </w:r>
    </w:p>
    <w:p w:rsidR="002015B0" w:rsidRDefault="002015B0"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D22E48">
      <w:pPr>
        <w:pStyle w:val="NormalWeb"/>
        <w:bidi/>
        <w:spacing w:beforeAutospacing="0" w:after="0" w:afterAutospacing="0"/>
        <w:ind w:right="113"/>
        <w:jc w:val="both"/>
        <w:rPr>
          <w:rFonts w:ascii="Arial" w:hAnsi="Arial" w:cs="David"/>
          <w:rtl/>
        </w:rPr>
      </w:pPr>
      <w:r w:rsidRPr="002015B0">
        <w:rPr>
          <w:rFonts w:ascii="Arial" w:hAnsi="Arial" w:cs="David"/>
          <w:b/>
          <w:bCs/>
          <w:rtl/>
        </w:rPr>
        <w:t>ייזהר הקונה</w:t>
      </w:r>
      <w:r w:rsidRPr="002015B0">
        <w:rPr>
          <w:rFonts w:ascii="Arial" w:hAnsi="Arial" w:cs="David"/>
          <w:rtl/>
        </w:rPr>
        <w:t xml:space="preserve">- דוקטרינה משפטית </w:t>
      </w:r>
      <w:proofErr w:type="spellStart"/>
      <w:r w:rsidRPr="002015B0">
        <w:rPr>
          <w:rFonts w:ascii="Arial" w:hAnsi="Arial" w:cs="David"/>
          <w:rtl/>
        </w:rPr>
        <w:t>שהיתה</w:t>
      </w:r>
      <w:proofErr w:type="spellEnd"/>
      <w:r w:rsidRPr="002015B0">
        <w:rPr>
          <w:rFonts w:ascii="Arial" w:hAnsi="Arial" w:cs="David"/>
          <w:rtl/>
        </w:rPr>
        <w:t xml:space="preserve"> מקובלת במשפט המקובל האנגלי, לפיה בחוזה מכר על כל צד לדאוג לענייניו, ועל הקונה לבדוק את הממכר היטב, כאשר על המוכר לא חלה כל חובה לגלות לקונה על פגם כלשהו בממכר, גם אם ידע המוכר כי הקונה פועל מתוך טעות.</w:t>
      </w:r>
    </w:p>
    <w:p w:rsidR="0045569A" w:rsidRPr="002015B0" w:rsidRDefault="0045569A" w:rsidP="00D22E48">
      <w:pPr>
        <w:pStyle w:val="NormalWeb"/>
        <w:bidi/>
        <w:spacing w:beforeAutospacing="0" w:after="0" w:afterAutospacing="0"/>
        <w:ind w:right="113"/>
        <w:jc w:val="both"/>
        <w:rPr>
          <w:rFonts w:ascii="Arial" w:hAnsi="Arial" w:cs="David"/>
          <w:rtl/>
        </w:rPr>
      </w:pPr>
      <w:r w:rsidRPr="002015B0">
        <w:rPr>
          <w:rFonts w:ascii="Arial" w:hAnsi="Arial" w:cs="David"/>
          <w:b/>
          <w:bCs/>
          <w:rtl/>
        </w:rPr>
        <w:t>תום לב</w:t>
      </w:r>
      <w:r w:rsidRPr="002015B0">
        <w:rPr>
          <w:rFonts w:ascii="Arial" w:hAnsi="Arial" w:cs="David"/>
          <w:rtl/>
        </w:rPr>
        <w:t>- דוקטרינה כללית שחלה בכל תחומי המשפט, לפיה כל בעל זכות צריך להפעיל את זכותו בדרך מקובלת ובתום לב. זהו עקרון "מלכותי" אשר קובע אמת מידה אובייקטיבית של התנהגות ראויה במכלול היחסים הבינאישיים. מקורו הפורמאלי של העיקרון הוא בהוראות סעיפים 12 ו- 39 לחוק החוזים (חלק כללי), התשל"ג-1973, ובאמצעות סעיף 61(ב) לחוק החוזים יוצא עקרון תום הלב לכלל המשפט הישראלי.</w:t>
      </w:r>
    </w:p>
    <w:p w:rsidR="0045569A" w:rsidRPr="002015B0" w:rsidRDefault="0045569A" w:rsidP="00D22E48">
      <w:pPr>
        <w:pStyle w:val="NormalWeb"/>
        <w:bidi/>
        <w:spacing w:beforeAutospacing="0" w:after="0" w:afterAutospacing="0"/>
        <w:ind w:right="113"/>
        <w:jc w:val="both"/>
        <w:rPr>
          <w:rFonts w:ascii="Arial" w:hAnsi="Arial" w:cs="David"/>
          <w:rtl/>
        </w:rPr>
      </w:pPr>
      <w:r w:rsidRPr="002015B0">
        <w:rPr>
          <w:rFonts w:ascii="Arial" w:hAnsi="Arial" w:cs="David"/>
          <w:b/>
          <w:bCs/>
          <w:rtl/>
        </w:rPr>
        <w:t>פרשנות דו-שלבית</w:t>
      </w:r>
      <w:r w:rsidRPr="002015B0">
        <w:rPr>
          <w:rFonts w:ascii="Arial" w:hAnsi="Arial" w:cs="David"/>
          <w:rtl/>
        </w:rPr>
        <w:t>- דוקטרינה משפטית הגורסת כי בפרשנות החוזה ישנם שני שלבים: הראשון, בדיקת הטקסט החוזי, והשני - ורק כאשר יש יותר מפירוש אחד לחוזה - בודקים מהו הפירוש שתואם ביותר את כוונת הצדדים (עם עדיפות לפרשנות מתוך החוזה).</w:t>
      </w:r>
    </w:p>
    <w:p w:rsidR="0045569A" w:rsidRPr="002015B0" w:rsidRDefault="00D22E48" w:rsidP="00D22E48">
      <w:pPr>
        <w:pStyle w:val="NormalWeb"/>
        <w:bidi/>
        <w:spacing w:beforeAutospacing="0" w:after="0" w:afterAutospacing="0"/>
        <w:ind w:right="113"/>
        <w:jc w:val="both"/>
        <w:rPr>
          <w:rFonts w:ascii="Arial" w:hAnsi="Arial" w:cs="David"/>
          <w:rtl/>
        </w:rPr>
      </w:pPr>
      <w:r>
        <w:rPr>
          <w:rFonts w:ascii="Arial" w:hAnsi="Arial" w:cs="David"/>
          <w:b/>
          <w:bCs/>
          <w:rtl/>
        </w:rPr>
        <w:t>השלמת פרטים</w:t>
      </w:r>
      <w:r w:rsidR="0045569A" w:rsidRPr="002015B0">
        <w:rPr>
          <w:rFonts w:ascii="Arial" w:hAnsi="Arial" w:cs="David"/>
          <w:rtl/>
        </w:rPr>
        <w:t>- מנגנון המסייע לנו בהשלמת פרטים שלא נקבעו בחוזה (קבוע בסעיף 26 לחוק החוזים).</w:t>
      </w:r>
    </w:p>
    <w:p w:rsidR="0045569A" w:rsidRPr="002015B0" w:rsidRDefault="0045569A" w:rsidP="00C6586F">
      <w:pPr>
        <w:pStyle w:val="NormalWeb"/>
        <w:bidi/>
        <w:spacing w:beforeAutospacing="0" w:after="0" w:afterAutospacing="0"/>
        <w:ind w:right="113"/>
        <w:jc w:val="both"/>
        <w:rPr>
          <w:rFonts w:ascii="Arial" w:hAnsi="Arial" w:cs="David"/>
          <w:rtl/>
        </w:rPr>
      </w:pPr>
      <w:proofErr w:type="spellStart"/>
      <w:r w:rsidRPr="002015B0">
        <w:rPr>
          <w:rFonts w:ascii="Arial" w:hAnsi="Arial" w:cs="David"/>
          <w:b/>
          <w:bCs/>
          <w:rtl/>
        </w:rPr>
        <w:t>זכרון</w:t>
      </w:r>
      <w:proofErr w:type="spellEnd"/>
      <w:r w:rsidRPr="002015B0">
        <w:rPr>
          <w:rFonts w:ascii="Arial" w:hAnsi="Arial" w:cs="David"/>
          <w:b/>
          <w:bCs/>
          <w:rtl/>
        </w:rPr>
        <w:t xml:space="preserve"> דברים</w:t>
      </w:r>
      <w:r w:rsidRPr="002015B0">
        <w:rPr>
          <w:rFonts w:ascii="Arial" w:hAnsi="Arial" w:cs="David"/>
          <w:rtl/>
        </w:rPr>
        <w:t>- מסמך בו מעוגנות ההסכמות הבסיסיות בהסכם</w:t>
      </w:r>
      <w:r w:rsidRPr="002015B0">
        <w:rPr>
          <w:rFonts w:ascii="Arial" w:hAnsi="Arial" w:cs="David"/>
        </w:rPr>
        <w:t xml:space="preserve"> </w:t>
      </w:r>
      <w:r w:rsidRPr="002015B0">
        <w:rPr>
          <w:rFonts w:ascii="Arial" w:hAnsi="Arial" w:cs="David"/>
          <w:rtl/>
        </w:rPr>
        <w:t xml:space="preserve">שעתיד להיערך בין שני צדדים. על-פי ההלכה המשפטית הנוהגת כיום, על </w:t>
      </w:r>
      <w:proofErr w:type="spellStart"/>
      <w:r w:rsidRPr="002015B0">
        <w:rPr>
          <w:rFonts w:ascii="Arial" w:hAnsi="Arial" w:cs="David"/>
          <w:rtl/>
        </w:rPr>
        <w:t>זכרון</w:t>
      </w:r>
      <w:proofErr w:type="spellEnd"/>
      <w:r w:rsidRPr="002015B0">
        <w:rPr>
          <w:rFonts w:ascii="Arial" w:hAnsi="Arial" w:cs="David"/>
          <w:rtl/>
        </w:rPr>
        <w:t xml:space="preserve"> הדברים לכלול את הפרטים המהותיים והחיוניים של העסקה, אך יחד עם זאת - אין הכרח כי</w:t>
      </w:r>
      <w:r w:rsidRPr="002015B0">
        <w:rPr>
          <w:rFonts w:ascii="Arial" w:hAnsi="Arial" w:cs="David"/>
        </w:rPr>
        <w:t xml:space="preserve"> </w:t>
      </w:r>
      <w:r w:rsidRPr="002015B0">
        <w:rPr>
          <w:rFonts w:ascii="Arial" w:hAnsi="Arial" w:cs="David"/>
          <w:rtl/>
        </w:rPr>
        <w:t xml:space="preserve">כל פרטי ההסכם ימצאו את ביטויים במסגרת </w:t>
      </w:r>
      <w:proofErr w:type="spellStart"/>
      <w:r w:rsidRPr="002015B0">
        <w:rPr>
          <w:rFonts w:ascii="Arial" w:hAnsi="Arial" w:cs="David"/>
          <w:rtl/>
        </w:rPr>
        <w:t>זכרון</w:t>
      </w:r>
      <w:proofErr w:type="spellEnd"/>
      <w:r w:rsidRPr="002015B0">
        <w:rPr>
          <w:rFonts w:ascii="Arial" w:hAnsi="Arial" w:cs="David"/>
          <w:rtl/>
        </w:rPr>
        <w:t xml:space="preserve"> הדברים ופרטים חסרים יהיו ניתנים להשלמה באמצעות מנגנוני השלמת הפרטים.</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חוק החוזים (תרופות בשל הפרת חוזה), תשל"א</w:t>
      </w:r>
      <w:r w:rsidRPr="002015B0">
        <w:rPr>
          <w:rFonts w:ascii="Arial" w:hAnsi="Arial" w:cs="David"/>
          <w:rtl/>
        </w:rPr>
        <w:t>-</w:t>
      </w:r>
      <w:r w:rsidRPr="002015B0">
        <w:rPr>
          <w:rFonts w:ascii="Arial" w:hAnsi="Arial" w:cs="David"/>
          <w:b/>
          <w:bCs/>
          <w:rtl/>
        </w:rPr>
        <w:t>1970</w:t>
      </w:r>
      <w:r w:rsidRPr="002015B0">
        <w:rPr>
          <w:rFonts w:ascii="Arial" w:hAnsi="Arial" w:cs="David"/>
          <w:rtl/>
        </w:rPr>
        <w:t xml:space="preserve">- החוק אשר עוסק בתרופות </w:t>
      </w:r>
      <w:proofErr w:type="spellStart"/>
      <w:r w:rsidRPr="002015B0">
        <w:rPr>
          <w:rFonts w:ascii="Arial" w:hAnsi="Arial" w:cs="David"/>
          <w:rtl/>
        </w:rPr>
        <w:t>ובסעדים</w:t>
      </w:r>
      <w:proofErr w:type="spellEnd"/>
      <w:r w:rsidRPr="002015B0">
        <w:rPr>
          <w:rFonts w:ascii="Arial" w:hAnsi="Arial" w:cs="David"/>
          <w:rtl/>
        </w:rPr>
        <w:t xml:space="preserve"> הניתנים לצד שנפגע עקב הפרתו של החוזה עמו. החוק מונה שתי תרופות: זכות הנפגע לתבוע את אכיפתו של החוזה או לבטלו, וזאת בנוסף לזכותו של הנפגע לפיצויים, בנוסף על אחת התרופות הנ"ל או במקומן.</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הפרת הסכם</w:t>
      </w:r>
      <w:r w:rsidRPr="002015B0">
        <w:rPr>
          <w:rFonts w:ascii="Arial" w:hAnsi="Arial" w:cs="David"/>
          <w:rtl/>
        </w:rPr>
        <w:t xml:space="preserve">- באופן עקרוני, הדין רואה בחוזה התחייבות שעל הצדדים לקיימה, וזאת </w:t>
      </w:r>
      <w:proofErr w:type="spellStart"/>
      <w:r w:rsidRPr="002015B0">
        <w:rPr>
          <w:rFonts w:ascii="Arial" w:hAnsi="Arial" w:cs="David"/>
          <w:rtl/>
        </w:rPr>
        <w:t>מכח</w:t>
      </w:r>
      <w:proofErr w:type="spellEnd"/>
      <w:r w:rsidRPr="002015B0">
        <w:rPr>
          <w:rFonts w:ascii="Arial" w:hAnsi="Arial" w:cs="David"/>
          <w:rtl/>
        </w:rPr>
        <w:t xml:space="preserve"> הכלל ש" חוזים יש לקיים". יחד עם זאת, ישנם מצבים שבהם אדם נמנע מלקיים את התחייבויותיו החוזית, בין אם מרצונו ובין אם בשל מגוון של נסיבות אחרות. זהו מצב של הפרת ההסכם.</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אכיפת ההסכם</w:t>
      </w:r>
      <w:r w:rsidRPr="002015B0">
        <w:rPr>
          <w:rFonts w:ascii="Arial" w:hAnsi="Arial" w:cs="David"/>
          <w:rtl/>
        </w:rPr>
        <w:t>- צו עשה או לצו לא-תעשה, לרבות צו לתיקון תוצאות הפרת ההסכם, אשר ניתן על-ידי בית המשפט לבקשתו של הצד הנפגע (מי שהחוזה כלפיו הופר), אלא אם כן החוזה איננו ניתן לאכיפה בתנאים האמורים בסעיף 3 לחוק החוזים (תרופות בשל הפרת חוזה), תשל"א-1970.</w:t>
      </w:r>
    </w:p>
    <w:p w:rsidR="0045569A" w:rsidRPr="002015B0" w:rsidRDefault="00C6586F" w:rsidP="00C6586F">
      <w:pPr>
        <w:pStyle w:val="NormalWeb"/>
        <w:bidi/>
        <w:spacing w:beforeAutospacing="0" w:after="0" w:afterAutospacing="0"/>
        <w:ind w:right="113"/>
        <w:jc w:val="both"/>
        <w:rPr>
          <w:rFonts w:ascii="Arial" w:hAnsi="Arial" w:cs="David"/>
        </w:rPr>
      </w:pPr>
      <w:r>
        <w:rPr>
          <w:rFonts w:ascii="Arial" w:hAnsi="Arial" w:cs="David"/>
          <w:b/>
          <w:bCs/>
          <w:rtl/>
        </w:rPr>
        <w:t>הפרה יסודית</w:t>
      </w:r>
      <w:r w:rsidR="0045569A" w:rsidRPr="002015B0">
        <w:rPr>
          <w:rFonts w:ascii="Arial" w:hAnsi="Arial" w:cs="David"/>
          <w:rtl/>
        </w:rPr>
        <w:t>- הפרה שניתן להניח לגביה שאדם סביר לא היה מתקשר באותו חוזה אילו ראה מראש את ההפרה ותוצאותיה, או הפרה שהוסכם עליה בחוזה שתיחשב ליסודית.</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ביטול החוזה</w:t>
      </w:r>
      <w:r w:rsidRPr="002015B0">
        <w:rPr>
          <w:rFonts w:ascii="Arial" w:hAnsi="Arial" w:cs="David"/>
          <w:rtl/>
        </w:rPr>
        <w:t>- הסעד העיקרי אותו מעניק הדין לנפגע בעת הפרת ההסכם הוא סעד האכיפה, אולם הדין מכיר גם בזכותו של הנפגע מהפרה יסודית של החוזה לבטל את החוזה, כסעד אלטרנטיבי לסעד האכיפה.</w:t>
      </w:r>
    </w:p>
    <w:p w:rsidR="0045569A" w:rsidRPr="002015B0" w:rsidRDefault="00C6586F" w:rsidP="00C6586F">
      <w:pPr>
        <w:pStyle w:val="NormalWeb"/>
        <w:bidi/>
        <w:spacing w:beforeAutospacing="0" w:after="0" w:afterAutospacing="0"/>
        <w:ind w:right="113"/>
        <w:jc w:val="both"/>
        <w:rPr>
          <w:rFonts w:ascii="Arial" w:hAnsi="Arial" w:cs="David"/>
          <w:rtl/>
        </w:rPr>
      </w:pPr>
      <w:r>
        <w:rPr>
          <w:rFonts w:ascii="Arial" w:hAnsi="Arial" w:cs="David"/>
          <w:b/>
          <w:bCs/>
          <w:rtl/>
        </w:rPr>
        <w:t>פיצויי הסתמכות</w:t>
      </w:r>
      <w:r w:rsidR="0045569A" w:rsidRPr="002015B0">
        <w:rPr>
          <w:rFonts w:ascii="Arial" w:hAnsi="Arial" w:cs="David"/>
          <w:rtl/>
        </w:rPr>
        <w:t xml:space="preserve">- פיצויים להם זכאי הנפגע בעד הנזק שנגרם לו עקב ההפרה ותוצאותיה ושהמפר ראה אותו או שהיה עליו לראותו מראש, בעת כריתת החוזה, כתוצאה מסתברת של ההפרה. פיצויים אלו קבועים בסעיף 10 לחוק החוזים (תרופות), ומטרתם להעמיד את הנפגע בדיוק באותו המצב בו היה לו היה החוזה מקוים. </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פיצויים בעד נזק שאינו ממון</w:t>
      </w:r>
      <w:r w:rsidRPr="002015B0">
        <w:rPr>
          <w:rFonts w:ascii="Arial" w:hAnsi="Arial" w:cs="David"/>
          <w:rtl/>
        </w:rPr>
        <w:t xml:space="preserve">- פיצויים בעד נזק שאינו כספי גרידא הניתנים לפי סעיף 13 לחוק החוזים (תרופות). לדוגמא -  פיצוי בגין "עוגמת נפש". </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פיצויים מוסכמים</w:t>
      </w:r>
      <w:r w:rsidRPr="002015B0">
        <w:rPr>
          <w:rFonts w:ascii="Arial" w:hAnsi="Arial" w:cs="David"/>
          <w:rtl/>
        </w:rPr>
        <w:t xml:space="preserve">- פיצויים בסכום שעליו הסכימו הצדדים מראש, אף ללא הוכחת נזק. ניתנים בהתאם לסעיף 15 לחוק החוזים (תרופות). </w:t>
      </w:r>
    </w:p>
    <w:p w:rsidR="0045569A" w:rsidRPr="002015B0" w:rsidRDefault="00C6586F" w:rsidP="00C6586F">
      <w:pPr>
        <w:pStyle w:val="NormalWeb"/>
        <w:bidi/>
        <w:spacing w:beforeAutospacing="0" w:after="0" w:afterAutospacing="0"/>
        <w:ind w:right="113"/>
        <w:jc w:val="both"/>
        <w:rPr>
          <w:rFonts w:ascii="Arial" w:hAnsi="Arial" w:cs="David"/>
          <w:rtl/>
        </w:rPr>
      </w:pPr>
      <w:r>
        <w:rPr>
          <w:rFonts w:ascii="Arial" w:hAnsi="Arial" w:cs="David"/>
          <w:b/>
          <w:bCs/>
          <w:rtl/>
        </w:rPr>
        <w:t>הקטנת הנזק</w:t>
      </w:r>
      <w:r w:rsidR="0045569A" w:rsidRPr="002015B0">
        <w:rPr>
          <w:rFonts w:ascii="Arial" w:hAnsi="Arial" w:cs="David"/>
          <w:rtl/>
        </w:rPr>
        <w:t>- עקרון הקבוע בסעיף 14 לחוק החוזים (תרופות) לפיו על הניזוק (הצד שנפגע מהפרת ההסכם) להקטין את נזקיו. כלומר, הניזוק נושא בנטל לנקוט בכל האמצעים הסבירים כדי להפחית את הנזק שנגרם לו כתוצאה ממעשהו של מזיק אשר שפגע בזכויותיו.</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בשיעור זה סיימנו את הדיון על דיני החוזים של מדינת ישראל. להזכיר, בתחילת השיעור הקודם עמדנו על-כך כי שני השיעורים העוסקים במבוא לדיני החוזים (זה והקודם) הנם בבחינת מבוא בלבד, הכוללים רק את הסוגיות העיקריות בדיני החוזים, תוך ניסיון לתת "טעימה" קצרה בלבד על דיני החוזים בישראל אשר מהווים דין מהותי רחב היקף.</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את השיעור הנוכחי ייחדנו ל- 3 סוגיות עקרוניות ועיקריות בדיני החוזים של מדינת ישראל.</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בחלקו הראשון של השיעור</w:t>
      </w:r>
      <w:r w:rsidRPr="002015B0">
        <w:rPr>
          <w:rFonts w:ascii="Arial" w:hAnsi="Arial" w:cs="David"/>
          <w:rtl/>
        </w:rPr>
        <w:t xml:space="preserve"> התמקדנו בעקרון תום הלב לפי סעיפים 12, 39 ו- 61(ב) לחוק החוזים (חלק כללי), התשל"ג-1973, אותו עקרון אשר לפי דברי נשיא בית המשפט העליון לשעבר, השופט אהרון ברק, הנו עקרון "מלכותי" הקובע אמת מידה אובייקטיבית של התנהגות ראויה במכלול היחסים הבינאישיים.</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במסגרת הדיון על עקרון תום הלב, ראינו כי המשפט הישראלי התנתק מהדוקטרינה האנגלית הקרויה "ייזהר הקונה", לפיה בחוזה מכר על כל צד לדאוג לענייניו, וכי על הקונה לבדוק את הממכר היטב בטרם יתקשר </w:t>
      </w:r>
      <w:r w:rsidRPr="002015B0">
        <w:rPr>
          <w:rFonts w:ascii="Arial" w:hAnsi="Arial" w:cs="David"/>
          <w:rtl/>
        </w:rPr>
        <w:lastRenderedPageBreak/>
        <w:t>בעסקה, כאשר על המוכר לא חלה כל חובה לגלות לקונה על פגמים כלשהם בממכר, גם אם ידע כי הקונה פועל מתוך טעות.</w:t>
      </w:r>
    </w:p>
    <w:p w:rsidR="0045569A" w:rsidRPr="002015B0" w:rsidRDefault="0045569A" w:rsidP="00C6586F">
      <w:pPr>
        <w:pStyle w:val="NormalWeb"/>
        <w:bidi/>
        <w:spacing w:beforeAutospacing="0" w:after="0" w:afterAutospacing="0"/>
        <w:ind w:right="113"/>
        <w:jc w:val="both"/>
        <w:rPr>
          <w:rFonts w:ascii="Arial" w:hAnsi="Arial" w:cs="David"/>
        </w:rPr>
      </w:pPr>
      <w:r w:rsidRPr="002015B0">
        <w:rPr>
          <w:rFonts w:ascii="Arial" w:hAnsi="Arial" w:cs="David"/>
          <w:rtl/>
        </w:rPr>
        <w:t>כן נוכחנו לדעת כי באמצעות סעיף 61(ב) לחוק החוזים, אשר קבע כי הוראות חוק החוזים יחולו גם על פעולות משפטיות שאינן בבחינת חוזה ועל חיובים שאינם נובעים מחוזה "יוצַא" עקרון תום הלב לכל המשפט הישראלי, כך שכיום, בניגוד למשפט המקובל האנגלי, בישראל חייבים הצדדים לחיובים המשפטיים השונים לנהוג זה כלפי זה בתום לב ובדרך מקובלת ואין הם רשאים לרמות זה את זה.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כן עמדנו על הביטויים השונים של חובת תום-הלב, כפי שאלו נקבעו בשורה רבה של פסקי-דין, וכן ראינו את הסנקציה המתלווה להפרת חובת תום-הלב על-ידי אחד מהצדדים לעסקה.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בחלקו השני של השיעור</w:t>
      </w:r>
      <w:r w:rsidRPr="002015B0">
        <w:rPr>
          <w:rFonts w:ascii="Arial" w:hAnsi="Arial" w:cs="David"/>
          <w:rtl/>
        </w:rPr>
        <w:t xml:space="preserve"> התמקדנו בצורת החוזה ובתוכנו. ראינו כי החוזה יכול להיעשות בעל פה, בכתב או בצורה אחרת (אלא אם כן </w:t>
      </w:r>
      <w:proofErr w:type="spellStart"/>
      <w:r w:rsidRPr="002015B0">
        <w:rPr>
          <w:rFonts w:ascii="Arial" w:hAnsi="Arial" w:cs="David"/>
          <w:rtl/>
        </w:rPr>
        <w:t>היתה</w:t>
      </w:r>
      <w:proofErr w:type="spellEnd"/>
      <w:r w:rsidRPr="002015B0">
        <w:rPr>
          <w:rFonts w:ascii="Arial" w:hAnsi="Arial" w:cs="David"/>
          <w:rtl/>
        </w:rPr>
        <w:t xml:space="preserve"> צורה </w:t>
      </w:r>
      <w:proofErr w:type="spellStart"/>
      <w:r w:rsidRPr="002015B0">
        <w:rPr>
          <w:rFonts w:ascii="Arial" w:hAnsi="Arial" w:cs="David"/>
          <w:rtl/>
        </w:rPr>
        <w:t>מסויימת</w:t>
      </w:r>
      <w:proofErr w:type="spellEnd"/>
      <w:r w:rsidRPr="002015B0">
        <w:rPr>
          <w:rFonts w:ascii="Arial" w:hAnsi="Arial" w:cs="David"/>
          <w:rtl/>
        </w:rPr>
        <w:t xml:space="preserve"> תנאי לתקפו על פי חוק או הסכם בין הצדדים), וכן כי תוכנו של החוזה יכול להיות כל שיסכימו עליו הצדדים.</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אשר לפרשנותו של החוזה - ראינו כי בהתאם לחוק החוזים, החוזה יפורש לפי אומד דעתם של הצדדים, כפי שהיא משתמעת מתוך החוזה, ובמידה שאינה משתמעת ממנו - מתוך הנסיבות, כאשר בעניין זה עמדנו על התפתחות הפסיקה בעקבות פסק-הדין </w:t>
      </w:r>
      <w:proofErr w:type="spellStart"/>
      <w:r w:rsidRPr="002015B0">
        <w:rPr>
          <w:rFonts w:ascii="Arial" w:hAnsi="Arial" w:cs="David"/>
          <w:rtl/>
        </w:rPr>
        <w:t>ברע"א</w:t>
      </w:r>
      <w:proofErr w:type="spellEnd"/>
      <w:r w:rsidRPr="002015B0">
        <w:rPr>
          <w:rFonts w:ascii="Arial" w:hAnsi="Arial" w:cs="David"/>
          <w:rtl/>
        </w:rPr>
        <w:t xml:space="preserve"> 8551/00 </w:t>
      </w:r>
      <w:proofErr w:type="spellStart"/>
      <w:r w:rsidRPr="002015B0">
        <w:rPr>
          <w:rFonts w:ascii="Arial" w:hAnsi="Arial" w:cs="David"/>
          <w:rtl/>
        </w:rPr>
        <w:t>אפרופים</w:t>
      </w:r>
      <w:proofErr w:type="spellEnd"/>
      <w:r w:rsidRPr="002015B0">
        <w:rPr>
          <w:rFonts w:ascii="Arial" w:hAnsi="Arial" w:cs="David"/>
          <w:rtl/>
        </w:rPr>
        <w:t xml:space="preserve"> שיכון וייזום (1991) בע"מ נ' מדינת ישראל, פ"ד </w:t>
      </w:r>
      <w:proofErr w:type="spellStart"/>
      <w:r w:rsidRPr="002015B0">
        <w:rPr>
          <w:rFonts w:ascii="Arial" w:hAnsi="Arial" w:cs="David"/>
          <w:rtl/>
        </w:rPr>
        <w:t>נה</w:t>
      </w:r>
      <w:proofErr w:type="spellEnd"/>
      <w:r w:rsidRPr="002015B0">
        <w:rPr>
          <w:rFonts w:ascii="Arial" w:hAnsi="Arial" w:cs="David"/>
          <w:rtl/>
        </w:rPr>
        <w:t>(2) 102 וביטולה של תורת "הפרשנות הדו-שלבית" בפרשנות החוזה.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עמדנו במסגרת זאת על ההתפתחות העצומה שחלה בשנים האחרונות בסוגיית "צורת החוזה", בעיקר כאשר מדובר בהשלמת פרטי החוזה החסרים לפי סעיף 26 לחוק החוזים: החל מהגישה הפורמליסטית של בתי המשפט עד שנות ה- 70 של המאה הקודמת, עובר בצמצומה של דרישת המסוימות בשנות ה- 80 וכלה בהלכת פסק-דין בית הפסנתר נ' מור (תחילת שנות ה- 2000), שם קובעת השופטת </w:t>
      </w:r>
      <w:proofErr w:type="spellStart"/>
      <w:r w:rsidRPr="002015B0">
        <w:rPr>
          <w:rFonts w:ascii="Arial" w:hAnsi="Arial" w:cs="David"/>
          <w:rtl/>
        </w:rPr>
        <w:t>דורנר</w:t>
      </w:r>
      <w:proofErr w:type="spellEnd"/>
      <w:r w:rsidRPr="002015B0">
        <w:rPr>
          <w:rFonts w:ascii="Arial" w:hAnsi="Arial" w:cs="David"/>
          <w:rtl/>
        </w:rPr>
        <w:t xml:space="preserve"> כי "במשפט המודרני דרישת המסוימות איבדה מחשיבותה" וכי יש לבדוק אך ורק את גמירת דעת.</w:t>
      </w:r>
    </w:p>
    <w:p w:rsidR="0045569A" w:rsidRPr="002015B0" w:rsidRDefault="0045569A" w:rsidP="00C6586F">
      <w:pPr>
        <w:pStyle w:val="NormalWeb"/>
        <w:bidi/>
        <w:spacing w:beforeAutospacing="0" w:after="0" w:afterAutospacing="0"/>
        <w:ind w:right="113"/>
        <w:jc w:val="both"/>
        <w:rPr>
          <w:rFonts w:ascii="Arial" w:hAnsi="Arial" w:cs="David"/>
        </w:rPr>
      </w:pPr>
      <w:r w:rsidRPr="002015B0">
        <w:rPr>
          <w:rFonts w:ascii="Arial" w:hAnsi="Arial" w:cs="David"/>
          <w:b/>
          <w:bCs/>
          <w:rtl/>
        </w:rPr>
        <w:t>בחלקו השלישי והאחרון של השיעור</w:t>
      </w:r>
      <w:r w:rsidRPr="002015B0">
        <w:rPr>
          <w:rFonts w:ascii="Arial" w:hAnsi="Arial" w:cs="David"/>
          <w:rtl/>
        </w:rPr>
        <w:t xml:space="preserve"> התמקדנו במעט מהוראותיו של חוק החוזים (תרופות בשל הפרת חוזה), תשל"א-1970: עמדנו על הכלל לפיו בעת הפרת החוזה זכאי הנפגע לתבוע את אכיפת החוזה, או לבטל את החוזה, וכן הוא זכאי הוא לפיצויים; כי הפרה יסודית היא הפרה שניתן להניח לגביה שאדם סביר לא היה מתקשר באותו חוזה אילו ראה מראש את ההפרה ותוצאותיה, או הפרה שהוסכם עליה בחוזה שתיחשב ליסודית; כי הנפגע זכאי לפיצויים בעד הנזק שנגרם לו עקב הפרה ההסכם, וכן כי על הנפגע חלה החובה להקטין את נזקיו.  </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9: </w:t>
      </w:r>
      <w:r w:rsidRPr="002015B0">
        <w:rPr>
          <w:rFonts w:ascii="Arial" w:eastAsia="Times New Roman" w:hAnsi="Arial" w:cs="David"/>
          <w:b/>
          <w:bCs/>
          <w:sz w:val="24"/>
          <w:szCs w:val="24"/>
          <w:u w:val="single"/>
          <w:rtl/>
        </w:rPr>
        <w:t>מבוא לדיני עונשין (חלק א')</w:t>
      </w:r>
    </w:p>
    <w:p w:rsidR="00C6586F" w:rsidRDefault="00C6586F"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משפט פרטי</w:t>
      </w:r>
      <w:r w:rsidRPr="0045569A">
        <w:rPr>
          <w:rFonts w:ascii="Arial" w:eastAsia="Times New Roman" w:hAnsi="Arial" w:cs="David"/>
          <w:sz w:val="24"/>
          <w:szCs w:val="24"/>
          <w:rtl/>
        </w:rPr>
        <w:t>- ענף משפט אשר מסדיר את מערכת היחסים שבין הפרטים (אנשים ותאגידים) בתוך המדינה.</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משפט ציבורי</w:t>
      </w:r>
      <w:r w:rsidRPr="0045569A">
        <w:rPr>
          <w:rFonts w:ascii="Arial" w:eastAsia="Times New Roman" w:hAnsi="Arial" w:cs="David"/>
          <w:sz w:val="24"/>
          <w:szCs w:val="24"/>
          <w:rtl/>
        </w:rPr>
        <w:t>- ענף משפט אשר מסדיר את מערכת היחסים שבין הפרט לבין רשויות המדינה השונות בתוקף תפקידן כרשויות המדינה.</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הכרעת דין</w:t>
      </w:r>
      <w:r w:rsidRPr="0045569A">
        <w:rPr>
          <w:rFonts w:ascii="Arial" w:eastAsia="Times New Roman" w:hAnsi="Arial" w:cs="David"/>
          <w:sz w:val="24"/>
          <w:szCs w:val="24"/>
          <w:rtl/>
        </w:rPr>
        <w:t xml:space="preserve">- החלטת בית משפט בסיומו של משפט פלילי האם להרשיע או לזכות את הנאשם שלפניו. </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גזר דין</w:t>
      </w:r>
      <w:r w:rsidRPr="0045569A">
        <w:rPr>
          <w:rFonts w:ascii="Arial" w:eastAsia="Times New Roman" w:hAnsi="Arial" w:cs="David"/>
          <w:sz w:val="24"/>
          <w:szCs w:val="24"/>
          <w:rtl/>
        </w:rPr>
        <w:t xml:space="preserve"> - העונש שמחליט בית משפט לגזור על נאשם שהורשע על-ידו בהליך הפלילי.</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עבירה מסוג "חטא"</w:t>
      </w:r>
      <w:r w:rsidRPr="0045569A">
        <w:rPr>
          <w:rFonts w:ascii="Arial" w:eastAsia="Times New Roman" w:hAnsi="Arial" w:cs="David"/>
          <w:sz w:val="24"/>
          <w:szCs w:val="24"/>
          <w:rtl/>
        </w:rPr>
        <w:t>-  עבירה שנקבע לה עונש מאסר לתקופה שאינה עולה על 3 חודשים.</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עבירה מסוג "עוון"</w:t>
      </w:r>
      <w:r w:rsidRPr="0045569A">
        <w:rPr>
          <w:rFonts w:ascii="Arial" w:eastAsia="Times New Roman" w:hAnsi="Arial" w:cs="David"/>
          <w:sz w:val="24"/>
          <w:szCs w:val="24"/>
          <w:rtl/>
        </w:rPr>
        <w:t>- עבירה שנקבע לה עונש מאסר לתקופה העולה על 3 חודשים ושאינה עולה על 3 שנים.</w:t>
      </w:r>
    </w:p>
    <w:p w:rsidR="0045569A" w:rsidRPr="0045569A" w:rsidRDefault="0045569A" w:rsidP="00C6586F">
      <w:pPr>
        <w:spacing w:before="100" w:after="0" w:line="240" w:lineRule="auto"/>
        <w:ind w:right="113"/>
        <w:jc w:val="both"/>
        <w:rPr>
          <w:rFonts w:ascii="Arial" w:eastAsia="Times New Roman" w:hAnsi="Arial" w:cs="David"/>
          <w:b/>
          <w:bCs/>
          <w:sz w:val="24"/>
          <w:szCs w:val="24"/>
          <w:rtl/>
        </w:rPr>
      </w:pPr>
      <w:r w:rsidRPr="0045569A">
        <w:rPr>
          <w:rFonts w:ascii="Arial" w:eastAsia="Times New Roman" w:hAnsi="Arial" w:cs="David"/>
          <w:b/>
          <w:bCs/>
          <w:sz w:val="24"/>
          <w:szCs w:val="24"/>
          <w:rtl/>
        </w:rPr>
        <w:t>עבירה מסוג "פשע"</w:t>
      </w:r>
      <w:r w:rsidRPr="0045569A">
        <w:rPr>
          <w:rFonts w:ascii="Arial" w:eastAsia="Times New Roman" w:hAnsi="Arial" w:cs="David"/>
          <w:sz w:val="24"/>
          <w:szCs w:val="24"/>
          <w:rtl/>
        </w:rPr>
        <w:t>- עבירה שנקבע לה עונש חמור ממאסר לתקופה של 3 שנים.</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נקמה, מניעה, הרתעה ושיקום</w:t>
      </w:r>
      <w:r w:rsidR="0045569A" w:rsidRPr="0045569A">
        <w:rPr>
          <w:rFonts w:ascii="Arial" w:eastAsia="Times New Roman" w:hAnsi="Arial" w:cs="David"/>
          <w:sz w:val="24"/>
          <w:szCs w:val="24"/>
          <w:rtl/>
        </w:rPr>
        <w:t>- צידוקים שונים לענישת הנאשם.</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נקמה</w:t>
      </w:r>
      <w:r w:rsidR="0045569A" w:rsidRPr="0045569A">
        <w:rPr>
          <w:rFonts w:ascii="Arial" w:eastAsia="Times New Roman" w:hAnsi="Arial" w:cs="David"/>
          <w:sz w:val="24"/>
          <w:szCs w:val="24"/>
          <w:rtl/>
        </w:rPr>
        <w:t>- אחת מצידוקי הענישה, ולפיו בעצם הענישה "דם ייגאל בדם" (עין תחת עין).</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מניעה</w:t>
      </w:r>
      <w:r w:rsidR="0045569A" w:rsidRPr="0045569A">
        <w:rPr>
          <w:rFonts w:ascii="Arial" w:eastAsia="Times New Roman" w:hAnsi="Arial" w:cs="David"/>
          <w:sz w:val="24"/>
          <w:szCs w:val="24"/>
          <w:rtl/>
        </w:rPr>
        <w:t>- אחת מצידוקי הענישה, ולפיו על-ידי הענישה נמנע את הישנות הפשע על-ידי אותו אדם.</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w:t>
      </w:r>
      <w:r w:rsidR="00C6586F">
        <w:rPr>
          <w:rFonts w:ascii="Arial" w:eastAsia="Times New Roman" w:hAnsi="Arial" w:cs="David"/>
          <w:b/>
          <w:bCs/>
          <w:sz w:val="24"/>
          <w:szCs w:val="24"/>
          <w:rtl/>
        </w:rPr>
        <w:t>רתעה</w:t>
      </w:r>
      <w:r w:rsidRPr="0045569A">
        <w:rPr>
          <w:rFonts w:ascii="Arial" w:eastAsia="Times New Roman" w:hAnsi="Arial" w:cs="David"/>
          <w:sz w:val="24"/>
          <w:szCs w:val="24"/>
          <w:rtl/>
        </w:rPr>
        <w:t>- אחת מצידוקי הענישה, ולפיו על-ידי הענישה נרתיע, ובאמצעות כך נמנע, את הישנות הפשע על-ידי אנשים אחרים ועל-ידי אותו אדם.</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שיקום</w:t>
      </w:r>
      <w:r w:rsidR="0045569A" w:rsidRPr="0045569A">
        <w:rPr>
          <w:rFonts w:ascii="Arial" w:eastAsia="Times New Roman" w:hAnsi="Arial" w:cs="David"/>
          <w:sz w:val="24"/>
          <w:szCs w:val="24"/>
          <w:rtl/>
        </w:rPr>
        <w:t>- אחד מצידוקי הענישה, ולפיו אין היגיון בגרימת סבל לעבריין, אלא יש לשקם ולרפא אותו.</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עבירות גרעין/ליבה</w:t>
      </w:r>
      <w:r w:rsidR="0045569A" w:rsidRPr="0045569A">
        <w:rPr>
          <w:rFonts w:ascii="Arial" w:eastAsia="Times New Roman" w:hAnsi="Arial" w:cs="David"/>
          <w:sz w:val="24"/>
          <w:szCs w:val="24"/>
          <w:rtl/>
        </w:rPr>
        <w:t>- עבירות אשר פוגעות בזכויות של אנשים אחרים (כגון: עבירות הרצח, גניבה, אונס, חבלה ועוד).</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עבירות שוליים</w:t>
      </w:r>
      <w:r w:rsidRPr="0045569A">
        <w:rPr>
          <w:rFonts w:ascii="Arial" w:eastAsia="Times New Roman" w:hAnsi="Arial" w:cs="David"/>
          <w:sz w:val="24"/>
          <w:szCs w:val="24"/>
          <w:rtl/>
        </w:rPr>
        <w:t>- עבירות שעניינן אינו פגיעה בזכויות של אחרים אלא בתקנת הציבור (כגון: עבירות תעבורה, התקהלות אסורה, זיוף בולים ועוד).</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אין עבירה ללא חוק (</w:t>
      </w:r>
      <w:proofErr w:type="spellStart"/>
      <w:r w:rsidRPr="0045569A">
        <w:rPr>
          <w:rFonts w:ascii="Arial" w:eastAsia="Times New Roman" w:hAnsi="Arial" w:cs="David"/>
          <w:b/>
          <w:bCs/>
          <w:sz w:val="24"/>
          <w:szCs w:val="24"/>
        </w:rPr>
        <w:t>Nullum</w:t>
      </w:r>
      <w:proofErr w:type="spellEnd"/>
      <w:r w:rsidRPr="0045569A">
        <w:rPr>
          <w:rFonts w:ascii="Arial" w:eastAsia="Times New Roman" w:hAnsi="Arial" w:cs="David"/>
          <w:b/>
          <w:bCs/>
          <w:sz w:val="24"/>
          <w:szCs w:val="24"/>
        </w:rPr>
        <w:t xml:space="preserve"> </w:t>
      </w:r>
      <w:proofErr w:type="spellStart"/>
      <w:r w:rsidRPr="0045569A">
        <w:rPr>
          <w:rFonts w:ascii="Arial" w:eastAsia="Times New Roman" w:hAnsi="Arial" w:cs="David"/>
          <w:b/>
          <w:bCs/>
          <w:sz w:val="24"/>
          <w:szCs w:val="24"/>
        </w:rPr>
        <w:t>Crimen</w:t>
      </w:r>
      <w:proofErr w:type="spellEnd"/>
      <w:r w:rsidRPr="0045569A">
        <w:rPr>
          <w:rFonts w:ascii="Arial" w:eastAsia="Times New Roman" w:hAnsi="Arial" w:cs="David"/>
          <w:b/>
          <w:bCs/>
          <w:sz w:val="24"/>
          <w:szCs w:val="24"/>
        </w:rPr>
        <w:t xml:space="preserve"> Sine </w:t>
      </w:r>
      <w:proofErr w:type="spellStart"/>
      <w:r w:rsidRPr="0045569A">
        <w:rPr>
          <w:rFonts w:ascii="Arial" w:eastAsia="Times New Roman" w:hAnsi="Arial" w:cs="David"/>
          <w:b/>
          <w:bCs/>
          <w:sz w:val="24"/>
          <w:szCs w:val="24"/>
        </w:rPr>
        <w:t>Lege</w:t>
      </w:r>
      <w:proofErr w:type="spellEnd"/>
      <w:r w:rsidR="00C6586F">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שעבירה חייבת להיות הפרה של חוק ולא רק גרימה של נזק.</w:t>
      </w:r>
    </w:p>
    <w:p w:rsidR="0045569A" w:rsidRPr="0045569A" w:rsidRDefault="0045569A" w:rsidP="00C6586F">
      <w:pPr>
        <w:spacing w:before="100" w:after="0" w:line="240" w:lineRule="auto"/>
        <w:ind w:right="113"/>
        <w:jc w:val="both"/>
        <w:rPr>
          <w:rFonts w:ascii="Arial" w:eastAsia="Times New Roman" w:hAnsi="Arial" w:cs="David"/>
          <w:b/>
          <w:bCs/>
          <w:sz w:val="24"/>
          <w:szCs w:val="24"/>
          <w:rtl/>
        </w:rPr>
      </w:pPr>
      <w:r w:rsidRPr="0045569A">
        <w:rPr>
          <w:rFonts w:ascii="Arial" w:eastAsia="Times New Roman" w:hAnsi="Arial" w:cs="David"/>
          <w:b/>
          <w:bCs/>
          <w:sz w:val="24"/>
          <w:szCs w:val="24"/>
          <w:rtl/>
        </w:rPr>
        <w:t>אין עונשין על דברים שבלב (</w:t>
      </w:r>
      <w:proofErr w:type="spellStart"/>
      <w:r w:rsidRPr="0045569A">
        <w:rPr>
          <w:rFonts w:ascii="Arial" w:eastAsia="Times New Roman" w:hAnsi="Arial" w:cs="David"/>
          <w:b/>
          <w:bCs/>
          <w:sz w:val="24"/>
          <w:szCs w:val="24"/>
        </w:rPr>
        <w:t>Nullum</w:t>
      </w:r>
      <w:proofErr w:type="spellEnd"/>
      <w:r w:rsidRPr="0045569A">
        <w:rPr>
          <w:rFonts w:ascii="Arial" w:eastAsia="Times New Roman" w:hAnsi="Arial" w:cs="David"/>
          <w:b/>
          <w:bCs/>
          <w:sz w:val="24"/>
          <w:szCs w:val="24"/>
        </w:rPr>
        <w:t xml:space="preserve"> </w:t>
      </w:r>
      <w:proofErr w:type="spellStart"/>
      <w:r w:rsidRPr="0045569A">
        <w:rPr>
          <w:rFonts w:ascii="Arial" w:eastAsia="Times New Roman" w:hAnsi="Arial" w:cs="David"/>
          <w:b/>
          <w:bCs/>
          <w:sz w:val="24"/>
          <w:szCs w:val="24"/>
        </w:rPr>
        <w:t>Crimen</w:t>
      </w:r>
      <w:proofErr w:type="spellEnd"/>
      <w:r w:rsidRPr="0045569A">
        <w:rPr>
          <w:rFonts w:ascii="Arial" w:eastAsia="Times New Roman" w:hAnsi="Arial" w:cs="David"/>
          <w:b/>
          <w:bCs/>
          <w:sz w:val="24"/>
          <w:szCs w:val="24"/>
        </w:rPr>
        <w:t xml:space="preserve"> Sine </w:t>
      </w:r>
      <w:proofErr w:type="spellStart"/>
      <w:r w:rsidRPr="0045569A">
        <w:rPr>
          <w:rFonts w:ascii="Arial" w:eastAsia="Times New Roman" w:hAnsi="Arial" w:cs="David"/>
          <w:b/>
          <w:bCs/>
          <w:sz w:val="24"/>
          <w:szCs w:val="24"/>
        </w:rPr>
        <w:t>Actum</w:t>
      </w:r>
      <w:proofErr w:type="spellEnd"/>
      <w:r w:rsidRPr="0045569A">
        <w:rPr>
          <w:rFonts w:ascii="Arial" w:eastAsia="Times New Roman" w:hAnsi="Arial" w:cs="David"/>
          <w:b/>
          <w:bCs/>
          <w:sz w:val="24"/>
          <w:szCs w:val="24"/>
          <w:rtl/>
        </w:rPr>
        <w:t>)</w:t>
      </w:r>
      <w:r w:rsidRPr="0045569A">
        <w:rPr>
          <w:rFonts w:ascii="Arial" w:eastAsia="Times New Roman" w:hAnsi="Arial" w:cs="David"/>
          <w:sz w:val="24"/>
          <w:szCs w:val="24"/>
          <w:rtl/>
        </w:rPr>
        <w:t>- עקרון בדיני עונשין הקובע כי אין עבירה ללא מעשה.</w:t>
      </w:r>
    </w:p>
    <w:p w:rsidR="0045569A" w:rsidRPr="0045569A" w:rsidRDefault="0045569A" w:rsidP="00C6586F">
      <w:pPr>
        <w:spacing w:before="100" w:after="0" w:line="240" w:lineRule="auto"/>
        <w:ind w:right="113"/>
        <w:jc w:val="both"/>
        <w:rPr>
          <w:rFonts w:ascii="Arial" w:eastAsia="Times New Roman" w:hAnsi="Arial" w:cs="David" w:hint="cs"/>
          <w:sz w:val="24"/>
          <w:szCs w:val="24"/>
          <w:rtl/>
        </w:rPr>
      </w:pPr>
      <w:r w:rsidRPr="0045569A">
        <w:rPr>
          <w:rFonts w:ascii="Arial" w:eastAsia="Times New Roman" w:hAnsi="Arial" w:cs="David"/>
          <w:b/>
          <w:bCs/>
          <w:sz w:val="24"/>
          <w:szCs w:val="24"/>
          <w:rtl/>
        </w:rPr>
        <w:t>אין עבירה ללא אשמה (</w:t>
      </w:r>
      <w:proofErr w:type="spellStart"/>
      <w:r w:rsidRPr="0045569A">
        <w:rPr>
          <w:rFonts w:ascii="Arial" w:eastAsia="Times New Roman" w:hAnsi="Arial" w:cs="David"/>
          <w:b/>
          <w:bCs/>
          <w:sz w:val="24"/>
          <w:szCs w:val="24"/>
        </w:rPr>
        <w:t>Nullum</w:t>
      </w:r>
      <w:proofErr w:type="spellEnd"/>
      <w:r w:rsidRPr="0045569A">
        <w:rPr>
          <w:rFonts w:ascii="Arial" w:eastAsia="Times New Roman" w:hAnsi="Arial" w:cs="David"/>
          <w:b/>
          <w:bCs/>
          <w:sz w:val="24"/>
          <w:szCs w:val="24"/>
        </w:rPr>
        <w:t xml:space="preserve"> </w:t>
      </w:r>
      <w:proofErr w:type="spellStart"/>
      <w:r w:rsidRPr="0045569A">
        <w:rPr>
          <w:rFonts w:ascii="Arial" w:eastAsia="Times New Roman" w:hAnsi="Arial" w:cs="David"/>
          <w:b/>
          <w:bCs/>
          <w:sz w:val="24"/>
          <w:szCs w:val="24"/>
        </w:rPr>
        <w:t>Crimen</w:t>
      </w:r>
      <w:proofErr w:type="spellEnd"/>
      <w:r w:rsidRPr="0045569A">
        <w:rPr>
          <w:rFonts w:ascii="Arial" w:eastAsia="Times New Roman" w:hAnsi="Arial" w:cs="David"/>
          <w:b/>
          <w:bCs/>
          <w:sz w:val="24"/>
          <w:szCs w:val="24"/>
        </w:rPr>
        <w:t xml:space="preserve"> Sine Culpa</w:t>
      </w:r>
      <w:r w:rsidR="00C6586F">
        <w:rPr>
          <w:rFonts w:ascii="Arial" w:eastAsia="Times New Roman" w:hAnsi="Arial" w:cs="David"/>
          <w:b/>
          <w:bCs/>
          <w:sz w:val="24"/>
          <w:szCs w:val="24"/>
          <w:rtl/>
        </w:rPr>
        <w:t>)</w:t>
      </w:r>
      <w:r w:rsidRPr="0045569A">
        <w:rPr>
          <w:rFonts w:ascii="Arial" w:eastAsia="Times New Roman" w:hAnsi="Arial" w:cs="David"/>
          <w:sz w:val="24"/>
          <w:szCs w:val="24"/>
          <w:rtl/>
        </w:rPr>
        <w:t xml:space="preserve">- עקרון בדיני עונשין הקובע כי עצם הביצוע של המעשה לא מספיק על-מנת להחזיק אדם אחראי בפלילים ויש צורך גם באשמה. </w:t>
      </w:r>
    </w:p>
    <w:p w:rsidR="0045569A" w:rsidRPr="0045569A" w:rsidRDefault="0045569A" w:rsidP="00C6586F">
      <w:pPr>
        <w:spacing w:before="100" w:after="0" w:line="240" w:lineRule="auto"/>
        <w:ind w:right="113"/>
        <w:jc w:val="both"/>
        <w:rPr>
          <w:rFonts w:ascii="Arial" w:eastAsia="Times New Roman" w:hAnsi="Arial" w:cs="David" w:hint="cs"/>
          <w:sz w:val="24"/>
          <w:szCs w:val="24"/>
          <w:rtl/>
        </w:rPr>
      </w:pPr>
      <w:proofErr w:type="spellStart"/>
      <w:proofErr w:type="gramStart"/>
      <w:r w:rsidRPr="0045569A">
        <w:rPr>
          <w:rFonts w:ascii="Arial" w:eastAsia="Times New Roman" w:hAnsi="Arial" w:cs="David"/>
          <w:b/>
          <w:bCs/>
          <w:sz w:val="24"/>
          <w:szCs w:val="24"/>
        </w:rPr>
        <w:t>Actus</w:t>
      </w:r>
      <w:proofErr w:type="spellEnd"/>
      <w:r w:rsidRPr="0045569A">
        <w:rPr>
          <w:rFonts w:ascii="Arial" w:eastAsia="Times New Roman" w:hAnsi="Arial" w:cs="David"/>
          <w:b/>
          <w:bCs/>
          <w:sz w:val="24"/>
          <w:szCs w:val="24"/>
        </w:rPr>
        <w:t xml:space="preserve"> Reus</w:t>
      </w:r>
      <w:r w:rsidRPr="0045569A">
        <w:rPr>
          <w:rFonts w:ascii="Arial" w:eastAsia="Times New Roman" w:hAnsi="Arial" w:cs="David" w:hint="cs"/>
          <w:sz w:val="24"/>
          <w:szCs w:val="24"/>
          <w:rtl/>
        </w:rPr>
        <w:t>- המעשה הפלילי.</w:t>
      </w:r>
      <w:proofErr w:type="gramEnd"/>
    </w:p>
    <w:p w:rsidR="0045569A" w:rsidRPr="0045569A" w:rsidRDefault="0045569A" w:rsidP="00C6586F">
      <w:pPr>
        <w:spacing w:before="100" w:after="0" w:line="240" w:lineRule="auto"/>
        <w:ind w:right="113"/>
        <w:jc w:val="both"/>
        <w:rPr>
          <w:rFonts w:ascii="Arial" w:eastAsia="Times New Roman" w:hAnsi="Arial" w:cs="David" w:hint="cs"/>
          <w:sz w:val="24"/>
          <w:szCs w:val="24"/>
          <w:rtl/>
        </w:rPr>
      </w:pPr>
      <w:proofErr w:type="spellStart"/>
      <w:proofErr w:type="gramStart"/>
      <w:r w:rsidRPr="0045569A">
        <w:rPr>
          <w:rFonts w:ascii="Arial" w:eastAsia="Times New Roman" w:hAnsi="Arial" w:cs="David"/>
          <w:b/>
          <w:bCs/>
          <w:sz w:val="24"/>
          <w:szCs w:val="24"/>
        </w:rPr>
        <w:t>Mens</w:t>
      </w:r>
      <w:proofErr w:type="spellEnd"/>
      <w:r w:rsidRPr="0045569A">
        <w:rPr>
          <w:rFonts w:ascii="Arial" w:eastAsia="Times New Roman" w:hAnsi="Arial" w:cs="David"/>
          <w:b/>
          <w:bCs/>
          <w:sz w:val="24"/>
          <w:szCs w:val="24"/>
        </w:rPr>
        <w:t xml:space="preserve"> Rea</w:t>
      </w:r>
      <w:r w:rsidRPr="0045569A">
        <w:rPr>
          <w:rFonts w:ascii="Arial" w:eastAsia="Times New Roman" w:hAnsi="Arial" w:cs="David" w:hint="cs"/>
          <w:sz w:val="24"/>
          <w:szCs w:val="24"/>
          <w:rtl/>
        </w:rPr>
        <w:t>- מחשבה פלילית.</w:t>
      </w:r>
      <w:proofErr w:type="gramEnd"/>
    </w:p>
    <w:p w:rsidR="0045569A" w:rsidRPr="0045569A" w:rsidRDefault="00C6586F" w:rsidP="00C6586F">
      <w:pPr>
        <w:spacing w:before="100" w:after="0" w:line="240" w:lineRule="auto"/>
        <w:ind w:right="113"/>
        <w:jc w:val="both"/>
        <w:rPr>
          <w:rFonts w:ascii="Arial" w:eastAsia="Times New Roman" w:hAnsi="Arial" w:cs="David" w:hint="cs"/>
          <w:b/>
          <w:bCs/>
          <w:sz w:val="24"/>
          <w:szCs w:val="24"/>
          <w:rtl/>
        </w:rPr>
      </w:pPr>
      <w:r>
        <w:rPr>
          <w:rFonts w:ascii="Arial" w:eastAsia="Times New Roman" w:hAnsi="Arial" w:cs="David"/>
          <w:b/>
          <w:bCs/>
          <w:sz w:val="24"/>
          <w:szCs w:val="24"/>
          <w:rtl/>
        </w:rPr>
        <w:t>כשירות משפטית</w:t>
      </w:r>
      <w:r w:rsidR="0045569A" w:rsidRPr="0045569A">
        <w:rPr>
          <w:rFonts w:ascii="Arial" w:eastAsia="Times New Roman" w:hAnsi="Arial" w:cs="David"/>
          <w:sz w:val="24"/>
          <w:szCs w:val="24"/>
          <w:rtl/>
        </w:rPr>
        <w:t>- הנחה משפטית לפיה כל אדם כשיר לחובות ולזכויות משפטיות, אלא אם כן נשללה זכות זאת או הוגבלה על-פי החוק או על-פי קביעת בית המשפט (לדוגמא - קטין שטרם מלאו לו 12 שנים איננו כשיר לפי החוק לעמוד לדין פלילי).</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רצייה</w:t>
      </w:r>
      <w:r w:rsidR="0045569A" w:rsidRPr="0045569A">
        <w:rPr>
          <w:rFonts w:ascii="Arial" w:eastAsia="Times New Roman" w:hAnsi="Arial" w:cs="David"/>
          <w:sz w:val="24"/>
          <w:szCs w:val="24"/>
          <w:rtl/>
        </w:rPr>
        <w:t>- עצם היכולת/אפשרות לבחור בין חלופות התנהגות שונות.</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עקרון החוקיות</w:t>
      </w:r>
      <w:r w:rsidR="0045569A" w:rsidRPr="0045569A">
        <w:rPr>
          <w:rFonts w:ascii="Arial" w:eastAsia="Times New Roman" w:hAnsi="Arial" w:cs="David"/>
          <w:sz w:val="24"/>
          <w:szCs w:val="24"/>
          <w:rtl/>
        </w:rPr>
        <w:t>- עקרון על בדיני העונשין אשר בבסיסו עומדת התפיסה כי "מה שלא אסור - מותר". סעיף 1 לחוק העונשין, תשל"ז-1977, אשר הנו הגשמה של עקרון החוקיות, קובע כי: "אין עבירה ואין עונש עליה אלא אם כן נקבעו בחוק או על-פיו".</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פומביות</w:t>
      </w:r>
      <w:r w:rsidR="0045569A" w:rsidRPr="0045569A">
        <w:rPr>
          <w:rFonts w:ascii="Arial" w:eastAsia="Times New Roman" w:hAnsi="Arial" w:cs="David"/>
          <w:sz w:val="24"/>
          <w:szCs w:val="24"/>
          <w:rtl/>
        </w:rPr>
        <w:t>-</w:t>
      </w:r>
      <w:r w:rsidR="0045569A" w:rsidRPr="0045569A">
        <w:rPr>
          <w:rFonts w:ascii="Arial" w:eastAsia="Times New Roman" w:hAnsi="Arial" w:cs="David"/>
          <w:b/>
          <w:bCs/>
          <w:sz w:val="24"/>
          <w:szCs w:val="24"/>
          <w:rtl/>
        </w:rPr>
        <w:t xml:space="preserve"> </w:t>
      </w:r>
      <w:r w:rsidR="0045569A" w:rsidRPr="0045569A">
        <w:rPr>
          <w:rFonts w:ascii="Arial" w:eastAsia="Times New Roman" w:hAnsi="Arial" w:cs="David"/>
          <w:sz w:val="24"/>
          <w:szCs w:val="24"/>
          <w:rtl/>
        </w:rPr>
        <w:t xml:space="preserve">אחד מרכיביו של עקרון החוקיות, ולפיו חוקים פליליים חייבים להתפרסם ברשומות על-מנת שיהיה להם תוקף מחייב. </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בהירות/וודאות</w:t>
      </w:r>
      <w:r w:rsidR="0045569A" w:rsidRPr="0045569A">
        <w:rPr>
          <w:rFonts w:ascii="Arial" w:eastAsia="Times New Roman" w:hAnsi="Arial" w:cs="David"/>
          <w:sz w:val="24"/>
          <w:szCs w:val="24"/>
          <w:rtl/>
        </w:rPr>
        <w:t>- אחד מרכיביו של עקרון החוקיות, ולפיו החוקים הפליליים צריכים להיות בהירים ו-וודאיים.</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איסור רטרואקטיביות</w:t>
      </w:r>
      <w:r w:rsidR="0045569A" w:rsidRPr="0045569A">
        <w:rPr>
          <w:rFonts w:ascii="Arial" w:eastAsia="Times New Roman" w:hAnsi="Arial" w:cs="David"/>
          <w:sz w:val="24"/>
          <w:szCs w:val="24"/>
          <w:rtl/>
        </w:rPr>
        <w:t>- אחד מרכיביו של עקרון החוקיות, ולפיו עבירות פליליות (וגם החמרה בעונש) אינן חלות באופן רטרואקטיבי, אלא מכאן והלאה.</w:t>
      </w:r>
    </w:p>
    <w:p w:rsidR="0045569A" w:rsidRPr="0045569A" w:rsidRDefault="0045569A" w:rsidP="00C6586F">
      <w:pPr>
        <w:spacing w:before="100" w:after="0" w:line="240" w:lineRule="auto"/>
        <w:ind w:right="113"/>
        <w:jc w:val="both"/>
        <w:rPr>
          <w:rFonts w:ascii="Arial" w:eastAsia="Times New Roman" w:hAnsi="Arial" w:cs="David"/>
          <w:sz w:val="24"/>
          <w:szCs w:val="24"/>
          <w:rtl/>
        </w:rPr>
      </w:pPr>
      <w:r w:rsidRPr="0045569A">
        <w:rPr>
          <w:rFonts w:ascii="Arial" w:eastAsia="Times New Roman" w:hAnsi="Arial" w:cs="David"/>
          <w:b/>
          <w:bCs/>
          <w:sz w:val="24"/>
          <w:szCs w:val="24"/>
          <w:rtl/>
        </w:rPr>
        <w:t>היסוד העובדתי של העבירה (</w:t>
      </w:r>
      <w:proofErr w:type="spellStart"/>
      <w:r w:rsidRPr="0045569A">
        <w:rPr>
          <w:rFonts w:ascii="Arial" w:eastAsia="Times New Roman" w:hAnsi="Arial" w:cs="David"/>
          <w:b/>
          <w:bCs/>
          <w:sz w:val="24"/>
          <w:szCs w:val="24"/>
        </w:rPr>
        <w:t>Actus</w:t>
      </w:r>
      <w:proofErr w:type="spellEnd"/>
      <w:r w:rsidRPr="0045569A">
        <w:rPr>
          <w:rFonts w:ascii="Arial" w:eastAsia="Times New Roman" w:hAnsi="Arial" w:cs="David"/>
          <w:b/>
          <w:bCs/>
          <w:sz w:val="24"/>
          <w:szCs w:val="24"/>
        </w:rPr>
        <w:t xml:space="preserve"> Reus</w:t>
      </w:r>
      <w:r w:rsidRPr="0045569A">
        <w:rPr>
          <w:rFonts w:ascii="Arial" w:eastAsia="Times New Roman" w:hAnsi="Arial" w:cs="David"/>
          <w:b/>
          <w:bCs/>
          <w:sz w:val="24"/>
          <w:szCs w:val="24"/>
          <w:rtl/>
        </w:rPr>
        <w:t>)</w:t>
      </w:r>
      <w:r w:rsidRPr="0045569A">
        <w:rPr>
          <w:rFonts w:ascii="Arial" w:eastAsia="Times New Roman" w:hAnsi="Arial" w:cs="David"/>
          <w:sz w:val="24"/>
          <w:szCs w:val="24"/>
          <w:rtl/>
        </w:rPr>
        <w:t>- היסוד הפיזי בתוך מבנה העבירה. ניתן לחשוב על היסוד העובדתי כעל מכלול העבירה, למעט היסוד הנפשי. היסוד העובדתי מורכב ממעשה, נסיבות ותוצאה.</w:t>
      </w:r>
    </w:p>
    <w:p w:rsidR="0045569A" w:rsidRPr="0045569A" w:rsidRDefault="00C6586F" w:rsidP="00C6586F">
      <w:pPr>
        <w:spacing w:before="100" w:after="0" w:line="240" w:lineRule="auto"/>
        <w:ind w:right="113"/>
        <w:jc w:val="both"/>
        <w:rPr>
          <w:rFonts w:ascii="Arial" w:eastAsia="Times New Roman" w:hAnsi="Arial" w:cs="David"/>
          <w:sz w:val="24"/>
          <w:szCs w:val="24"/>
          <w:rtl/>
        </w:rPr>
      </w:pPr>
      <w:r>
        <w:rPr>
          <w:rFonts w:ascii="Arial" w:eastAsia="Times New Roman" w:hAnsi="Arial" w:cs="David"/>
          <w:b/>
          <w:bCs/>
          <w:sz w:val="24"/>
          <w:szCs w:val="24"/>
          <w:rtl/>
        </w:rPr>
        <w:t>עבירה</w:t>
      </w:r>
      <w:r w:rsidR="0045569A" w:rsidRPr="0045569A">
        <w:rPr>
          <w:rFonts w:ascii="Arial" w:eastAsia="Times New Roman" w:hAnsi="Arial" w:cs="David"/>
          <w:sz w:val="24"/>
          <w:szCs w:val="24"/>
          <w:rtl/>
        </w:rPr>
        <w:t>- מעשה הפוגע בזכותו של אדם אחר לחיים, לגוף, או לרכוש.</w:t>
      </w:r>
    </w:p>
    <w:p w:rsidR="0045569A" w:rsidRPr="0045569A" w:rsidRDefault="00C6586F" w:rsidP="00C6586F">
      <w:pPr>
        <w:spacing w:before="100" w:after="0" w:line="240" w:lineRule="auto"/>
        <w:ind w:right="113"/>
        <w:jc w:val="both"/>
        <w:rPr>
          <w:rFonts w:ascii="Arial" w:eastAsia="Times New Roman" w:hAnsi="Arial" w:cs="David"/>
          <w:color w:val="FFFFFF"/>
          <w:sz w:val="24"/>
          <w:szCs w:val="24"/>
          <w:rtl/>
        </w:rPr>
      </w:pPr>
      <w:r>
        <w:rPr>
          <w:rFonts w:ascii="Arial" w:eastAsia="Times New Roman" w:hAnsi="Arial" w:cs="David"/>
          <w:b/>
          <w:bCs/>
          <w:sz w:val="24"/>
          <w:szCs w:val="24"/>
          <w:rtl/>
        </w:rPr>
        <w:t>מחדל פלילי</w:t>
      </w:r>
      <w:r w:rsidR="0045569A" w:rsidRPr="0045569A">
        <w:rPr>
          <w:rFonts w:ascii="Arial" w:eastAsia="Times New Roman" w:hAnsi="Arial" w:cs="David"/>
          <w:sz w:val="24"/>
          <w:szCs w:val="24"/>
          <w:rtl/>
        </w:rPr>
        <w:t>- הימנעות מעשייה שהיא חובה לפי כל דין או חוזה.</w:t>
      </w:r>
    </w:p>
    <w:p w:rsidR="0045569A" w:rsidRPr="0045569A" w:rsidRDefault="0045569A" w:rsidP="002015B0">
      <w:pPr>
        <w:spacing w:after="0" w:line="240" w:lineRule="auto"/>
        <w:jc w:val="both"/>
        <w:rPr>
          <w:rFonts w:ascii="Arial" w:eastAsia="Times New Roman" w:hAnsi="Arial" w:cs="David"/>
          <w:color w:val="FFFFFF"/>
          <w:sz w:val="24"/>
          <w:szCs w:val="24"/>
          <w:rtl/>
          <w:lang w:eastAsia="he-IL"/>
        </w:rPr>
      </w:pP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lastRenderedPageBreak/>
        <w:t>סיכום השיעור</w:t>
      </w:r>
      <w:r w:rsidRPr="002015B0">
        <w:rPr>
          <w:rFonts w:cs="David" w:hint="cs"/>
          <w:b/>
          <w:bCs/>
          <w:sz w:val="24"/>
          <w:szCs w:val="24"/>
          <w:rtl/>
        </w:rPr>
        <w:t>:</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בשיעור זה התחלנו את הדיון על דיני העונשין של מדינת ישראל. עמדנו על-כך כי מדובר בפרק מבוא בלבד, הכולל רק את הסוגיות העיקריות בדיני העונשין, תוך ניסיון לתת "טעימה" קצרה בלבד על דיני העונשין בישראל, אשר מהווים דין מהותי רחב היקף.</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בתחילת השיעור הכרנו מושגים כללים מתחום דיני העונשין ובמסגרת זאת ראינו כי פסק-הדין הפלילי, בניגוד לפסק הדין במשפט האזרחי, מורכב משני חלקים: הראשון, חלק </w:t>
      </w:r>
      <w:r w:rsidRPr="002015B0">
        <w:rPr>
          <w:rFonts w:ascii="Arial" w:hAnsi="Arial" w:cs="David"/>
          <w:b/>
          <w:bCs/>
          <w:rtl/>
        </w:rPr>
        <w:t>הכרעת-הדין</w:t>
      </w:r>
      <w:r w:rsidRPr="002015B0">
        <w:rPr>
          <w:rFonts w:ascii="Arial" w:hAnsi="Arial" w:cs="David"/>
          <w:rtl/>
        </w:rPr>
        <w:t xml:space="preserve">, שבו נקבע האם הנאשם מורשע או מזוכה. והשני, חלק </w:t>
      </w:r>
      <w:r w:rsidRPr="002015B0">
        <w:rPr>
          <w:rFonts w:ascii="Arial" w:hAnsi="Arial" w:cs="David"/>
          <w:b/>
          <w:bCs/>
          <w:rtl/>
        </w:rPr>
        <w:t>גזר-הדין</w:t>
      </w:r>
      <w:r w:rsidRPr="002015B0">
        <w:rPr>
          <w:rFonts w:ascii="Arial" w:hAnsi="Arial" w:cs="David"/>
          <w:rtl/>
        </w:rPr>
        <w:t xml:space="preserve"> שבו - ורק אם נמצא שהנאשם אכן אשם בביצוע העבירה - נקבע עונשו של המורשע בדין.</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עוד בתחילת השיעור נוכחנו לדעת כי העבירות במדינת ישראל מסווגות לפי חומרתן: עבירות "</w:t>
      </w:r>
      <w:r w:rsidRPr="002015B0">
        <w:rPr>
          <w:rFonts w:ascii="Arial" w:hAnsi="Arial" w:cs="David"/>
          <w:b/>
          <w:bCs/>
          <w:rtl/>
        </w:rPr>
        <w:t>חטא</w:t>
      </w:r>
      <w:r w:rsidRPr="002015B0">
        <w:rPr>
          <w:rFonts w:ascii="Arial" w:hAnsi="Arial" w:cs="David"/>
          <w:rtl/>
        </w:rPr>
        <w:t>" (עבירות שעונשן אינו עולה על 3 חודשי מאסר); עבירות "</w:t>
      </w:r>
      <w:r w:rsidRPr="002015B0">
        <w:rPr>
          <w:rFonts w:ascii="Arial" w:hAnsi="Arial" w:cs="David"/>
          <w:b/>
          <w:bCs/>
          <w:rtl/>
        </w:rPr>
        <w:t>עוון</w:t>
      </w:r>
      <w:r w:rsidRPr="002015B0">
        <w:rPr>
          <w:rFonts w:ascii="Arial" w:hAnsi="Arial" w:cs="David"/>
          <w:rtl/>
        </w:rPr>
        <w:t>" (שעונשן הוא בין 3 חודשים ל- 3 שנות מאסר); ועבירות "</w:t>
      </w:r>
      <w:r w:rsidRPr="002015B0">
        <w:rPr>
          <w:rFonts w:ascii="Arial" w:hAnsi="Arial" w:cs="David"/>
          <w:b/>
          <w:bCs/>
          <w:rtl/>
        </w:rPr>
        <w:t>פשע</w:t>
      </w:r>
      <w:r w:rsidRPr="002015B0">
        <w:rPr>
          <w:rFonts w:ascii="Arial" w:hAnsi="Arial" w:cs="David"/>
          <w:rtl/>
        </w:rPr>
        <w:t>" (שעונשן עולה על 3 שנות מאסר).</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במסגרת הדיון על הדין הפלילי המהותי עמדנו על הצידוקים לענישה וראינו כי הצדקת הענישה נובעת מתגובת החוק להפרה שלו. כלומר, בעצם הענישה נוצר תיקון של החוק שנפגע עקב העבירה הפלילית. כן עמדנו בהרחבה על ארבע המטרות העיקריות של הענישה: </w:t>
      </w:r>
      <w:r w:rsidRPr="002015B0">
        <w:rPr>
          <w:rFonts w:ascii="Arial" w:hAnsi="Arial" w:cs="David"/>
          <w:b/>
          <w:bCs/>
          <w:rtl/>
        </w:rPr>
        <w:t>הנקמה, המניעה, ההרתעה והשיקום</w:t>
      </w:r>
      <w:r w:rsidRPr="002015B0">
        <w:rPr>
          <w:rFonts w:ascii="Arial" w:hAnsi="Arial" w:cs="David"/>
          <w:rtl/>
        </w:rPr>
        <w:t>, תוך שאנו בוחנים את היתרונות והחסרונות של כל אחד ואחת מהמטרות וכן את הקשיים ביישום הגישות השונות בפועל.</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לאחר הדיון על מטרות הענישה נגענו בקצרה בהבדלים העיקריים שבין המוסר למשפט, ובמסגרת זאת שאלנו את השאלה מדוע לא ייחשב כל מעשה בלתי-מוסרי להיות גם מעשה פלילי, וראינו כי המוסר, בניגוד למשפט, מבקש טוב מקסימאלי. כלומר, המוסר דורש מבני-האדם להיות אנשים טובים ולא לעשות שום דבר שנוגד את הטוב המוחלט, ואילו המשפט מסתפק בדרישה כי בני-האדם יתנהגו באופן סביר אשר אך יאפשר את הקיום לצד בני אדם אחרים.</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בפרק הדן בעקרונות דיני העונשין למדנו על חמישה עקרונות מרכזיים: </w:t>
      </w:r>
      <w:proofErr w:type="spellStart"/>
      <w:r w:rsidRPr="002015B0">
        <w:rPr>
          <w:rFonts w:ascii="Arial" w:hAnsi="Arial" w:cs="David"/>
          <w:rtl/>
        </w:rPr>
        <w:t>העקרון</w:t>
      </w:r>
      <w:proofErr w:type="spellEnd"/>
      <w:r w:rsidRPr="002015B0">
        <w:rPr>
          <w:rFonts w:ascii="Arial" w:hAnsi="Arial" w:cs="David"/>
          <w:rtl/>
        </w:rPr>
        <w:t xml:space="preserve"> לפיו "</w:t>
      </w:r>
      <w:r w:rsidRPr="002015B0">
        <w:rPr>
          <w:rFonts w:ascii="Arial" w:hAnsi="Arial" w:cs="David"/>
          <w:b/>
          <w:bCs/>
          <w:rtl/>
        </w:rPr>
        <w:t>אין עבירה בהיעדר חוק</w:t>
      </w:r>
      <w:r w:rsidRPr="002015B0">
        <w:rPr>
          <w:rFonts w:ascii="Arial" w:hAnsi="Arial" w:cs="David"/>
          <w:rtl/>
        </w:rPr>
        <w:t xml:space="preserve">"; </w:t>
      </w:r>
      <w:proofErr w:type="spellStart"/>
      <w:r w:rsidRPr="002015B0">
        <w:rPr>
          <w:rFonts w:ascii="Arial" w:hAnsi="Arial" w:cs="David"/>
          <w:rtl/>
        </w:rPr>
        <w:t>העקרון</w:t>
      </w:r>
      <w:proofErr w:type="spellEnd"/>
      <w:r w:rsidRPr="002015B0">
        <w:rPr>
          <w:rFonts w:ascii="Arial" w:hAnsi="Arial" w:cs="David"/>
          <w:rtl/>
        </w:rPr>
        <w:t xml:space="preserve"> לפיו "</w:t>
      </w:r>
      <w:r w:rsidRPr="002015B0">
        <w:rPr>
          <w:rFonts w:ascii="Arial" w:hAnsi="Arial" w:cs="David"/>
          <w:b/>
          <w:bCs/>
          <w:rtl/>
        </w:rPr>
        <w:t>אין עבירה ללא מעשה</w:t>
      </w:r>
      <w:r w:rsidRPr="002015B0">
        <w:rPr>
          <w:rFonts w:ascii="Arial" w:hAnsi="Arial" w:cs="David"/>
          <w:rtl/>
        </w:rPr>
        <w:t xml:space="preserve">"; </w:t>
      </w:r>
      <w:proofErr w:type="spellStart"/>
      <w:r w:rsidRPr="002015B0">
        <w:rPr>
          <w:rFonts w:ascii="Arial" w:hAnsi="Arial" w:cs="David"/>
          <w:rtl/>
        </w:rPr>
        <w:t>העקרון</w:t>
      </w:r>
      <w:proofErr w:type="spellEnd"/>
      <w:r w:rsidRPr="002015B0">
        <w:rPr>
          <w:rFonts w:ascii="Arial" w:hAnsi="Arial" w:cs="David"/>
          <w:rtl/>
        </w:rPr>
        <w:t xml:space="preserve"> לפיו "</w:t>
      </w:r>
      <w:r w:rsidRPr="002015B0">
        <w:rPr>
          <w:rFonts w:ascii="Arial" w:hAnsi="Arial" w:cs="David"/>
          <w:b/>
          <w:bCs/>
          <w:rtl/>
        </w:rPr>
        <w:t>אין עבירה בהיעדר אשמה</w:t>
      </w:r>
      <w:r w:rsidRPr="002015B0">
        <w:rPr>
          <w:rFonts w:ascii="Arial" w:hAnsi="Arial" w:cs="David"/>
          <w:rtl/>
        </w:rPr>
        <w:t xml:space="preserve">"; עקרון </w:t>
      </w:r>
      <w:r w:rsidRPr="002015B0">
        <w:rPr>
          <w:rFonts w:ascii="Arial" w:hAnsi="Arial" w:cs="David"/>
          <w:b/>
          <w:bCs/>
          <w:rtl/>
        </w:rPr>
        <w:t>הכשירות המשפטית</w:t>
      </w:r>
      <w:r w:rsidRPr="002015B0">
        <w:rPr>
          <w:rFonts w:ascii="Arial" w:hAnsi="Arial" w:cs="David"/>
          <w:rtl/>
        </w:rPr>
        <w:t xml:space="preserve"> ועקרון </w:t>
      </w:r>
      <w:r w:rsidRPr="002015B0">
        <w:rPr>
          <w:rFonts w:ascii="Arial" w:hAnsi="Arial" w:cs="David"/>
          <w:b/>
          <w:bCs/>
          <w:rtl/>
        </w:rPr>
        <w:t>הרצייה</w:t>
      </w:r>
      <w:r w:rsidRPr="002015B0">
        <w:rPr>
          <w:rFonts w:ascii="Arial" w:hAnsi="Arial" w:cs="David"/>
          <w:rtl/>
        </w:rPr>
        <w:t>.</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כאשר שוחחנו על עקרון החוקיות, אשר בבסיסו עומדת התפיסה כי "מה שלא אסור - מותר", ראינו כי חשיבותו בכך שהוא מבטא את אוטונומית הפרט, וכן את התפיסה כי ישנה חשיבות מרובה בידיעה מראש מה מותר ומה אסור לאזרח במדינה, כיוון שהדבר מסייע בהכוונת התנהגויות. במסגרת הדיון על עקרון החוקיות עמדנו בנוסף גם על שלושת רכיביו: רכיב </w:t>
      </w:r>
      <w:r w:rsidRPr="002015B0">
        <w:rPr>
          <w:rFonts w:ascii="Arial" w:hAnsi="Arial" w:cs="David"/>
          <w:b/>
          <w:bCs/>
          <w:rtl/>
        </w:rPr>
        <w:t>הפומביות</w:t>
      </w:r>
      <w:r w:rsidRPr="002015B0">
        <w:rPr>
          <w:rFonts w:ascii="Arial" w:hAnsi="Arial" w:cs="David"/>
          <w:rtl/>
        </w:rPr>
        <w:t xml:space="preserve"> המחייב כי החוקים הפליליים יתפרסמו ברשומות על-מנת שיהיה להם תוקף מחייב; רכיב </w:t>
      </w:r>
      <w:r w:rsidRPr="002015B0">
        <w:rPr>
          <w:rFonts w:ascii="Arial" w:hAnsi="Arial" w:cs="David"/>
          <w:b/>
          <w:bCs/>
          <w:rtl/>
        </w:rPr>
        <w:t>הבהירות</w:t>
      </w:r>
      <w:r w:rsidRPr="002015B0">
        <w:rPr>
          <w:rFonts w:ascii="Arial" w:hAnsi="Arial" w:cs="David"/>
          <w:rtl/>
        </w:rPr>
        <w:t xml:space="preserve"> המחייב כי החוקים הפליליים יהיו ברורים וודאיים; ורכיב </w:t>
      </w:r>
      <w:r w:rsidRPr="002015B0">
        <w:rPr>
          <w:rFonts w:ascii="Arial" w:hAnsi="Arial" w:cs="David"/>
          <w:b/>
          <w:bCs/>
          <w:rtl/>
        </w:rPr>
        <w:t>איסור הרטרואקטיביות</w:t>
      </w:r>
      <w:r w:rsidRPr="002015B0">
        <w:rPr>
          <w:rFonts w:ascii="Arial" w:hAnsi="Arial" w:cs="David"/>
          <w:rtl/>
        </w:rPr>
        <w:t xml:space="preserve"> אשר קובע כי עבירות וכן החמרת הענישה אינן חלות באופן רטרואקטיבי. </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חלקו האחרון של שיעור זה ייחדנו להכרת אחד מיסודותיה של העבירה הפלילית, הוא </w:t>
      </w:r>
      <w:r w:rsidRPr="002015B0">
        <w:rPr>
          <w:rFonts w:ascii="Arial" w:hAnsi="Arial" w:cs="David"/>
          <w:b/>
          <w:bCs/>
          <w:rtl/>
        </w:rPr>
        <w:t>היסוד העובדתי</w:t>
      </w:r>
      <w:r w:rsidRPr="002015B0">
        <w:rPr>
          <w:rFonts w:ascii="Arial" w:hAnsi="Arial" w:cs="David"/>
          <w:rtl/>
        </w:rPr>
        <w:t xml:space="preserve"> של העבירה (</w:t>
      </w:r>
      <w:proofErr w:type="spellStart"/>
      <w:r w:rsidRPr="002015B0">
        <w:rPr>
          <w:rFonts w:ascii="Arial" w:hAnsi="Arial" w:cs="David"/>
        </w:rPr>
        <w:t>Actus</w:t>
      </w:r>
      <w:proofErr w:type="spellEnd"/>
      <w:r w:rsidRPr="002015B0">
        <w:rPr>
          <w:rFonts w:ascii="Arial" w:hAnsi="Arial" w:cs="David"/>
        </w:rPr>
        <w:t xml:space="preserve"> Reus</w:t>
      </w:r>
      <w:r w:rsidRPr="002015B0">
        <w:rPr>
          <w:rFonts w:ascii="Arial" w:hAnsi="Arial" w:cs="David"/>
          <w:rtl/>
        </w:rPr>
        <w:t xml:space="preserve">). ראינו כי אפשר לחשוב על </w:t>
      </w:r>
      <w:proofErr w:type="spellStart"/>
      <w:r w:rsidRPr="002015B0">
        <w:rPr>
          <w:rFonts w:ascii="Arial" w:hAnsi="Arial" w:cs="David"/>
          <w:rtl/>
        </w:rPr>
        <w:t>האקטוס-ריאוס</w:t>
      </w:r>
      <w:proofErr w:type="spellEnd"/>
      <w:r w:rsidRPr="002015B0">
        <w:rPr>
          <w:rFonts w:ascii="Arial" w:hAnsi="Arial" w:cs="David"/>
          <w:rtl/>
        </w:rPr>
        <w:t xml:space="preserve"> כעל מכלול העבירה, למעט היסוד הנפשי (ה"מנס-ריאה"), שכן העבירה מורכבת הן מהיסוד העובדתי והן מהיסוד הנפשי.</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rtl/>
        </w:rPr>
        <w:t xml:space="preserve">נוכחנו לדעת כי היסוד העובדתי מורכב מ- 3 רכיבים: </w:t>
      </w:r>
      <w:r w:rsidRPr="002015B0">
        <w:rPr>
          <w:rFonts w:ascii="Arial" w:hAnsi="Arial" w:cs="David"/>
          <w:b/>
          <w:bCs/>
          <w:rtl/>
        </w:rPr>
        <w:t>מעשה</w:t>
      </w:r>
      <w:r w:rsidRPr="002015B0">
        <w:rPr>
          <w:rFonts w:ascii="Arial" w:hAnsi="Arial" w:cs="David"/>
          <w:rtl/>
        </w:rPr>
        <w:t xml:space="preserve">, </w:t>
      </w:r>
      <w:r w:rsidRPr="002015B0">
        <w:rPr>
          <w:rFonts w:ascii="Arial" w:hAnsi="Arial" w:cs="David"/>
          <w:b/>
          <w:bCs/>
          <w:rtl/>
        </w:rPr>
        <w:t>נסיבות</w:t>
      </w:r>
      <w:r w:rsidRPr="002015B0">
        <w:rPr>
          <w:rFonts w:ascii="Arial" w:hAnsi="Arial" w:cs="David"/>
          <w:rtl/>
        </w:rPr>
        <w:t xml:space="preserve"> </w:t>
      </w:r>
      <w:r w:rsidRPr="002015B0">
        <w:rPr>
          <w:rFonts w:ascii="Arial" w:hAnsi="Arial" w:cs="David"/>
          <w:b/>
          <w:bCs/>
          <w:rtl/>
        </w:rPr>
        <w:t>ותוצאה</w:t>
      </w:r>
      <w:r w:rsidRPr="002015B0">
        <w:rPr>
          <w:rFonts w:ascii="Arial" w:hAnsi="Arial" w:cs="David"/>
          <w:rtl/>
        </w:rPr>
        <w:t>, כאשר יש עבירות שבהן לא תהיה דרישה ספציפית לנסיבות, ויש עבירות שבהן לא תהיה דרישה ספציפית לתוצאה, אך תמיד נדרש המעשה.</w:t>
      </w:r>
    </w:p>
    <w:p w:rsidR="0045569A" w:rsidRPr="002015B0" w:rsidRDefault="0045569A" w:rsidP="00C6586F">
      <w:pPr>
        <w:pStyle w:val="NormalWeb"/>
        <w:bidi/>
        <w:spacing w:beforeAutospacing="0" w:after="0" w:afterAutospacing="0"/>
        <w:ind w:right="113"/>
        <w:jc w:val="both"/>
        <w:rPr>
          <w:rFonts w:ascii="Arial" w:hAnsi="Arial" w:cs="David"/>
        </w:rPr>
      </w:pPr>
      <w:r w:rsidRPr="002015B0">
        <w:rPr>
          <w:rFonts w:ascii="Arial" w:hAnsi="Arial" w:cs="David"/>
          <w:rtl/>
        </w:rPr>
        <w:t xml:space="preserve">בדיון על היסוד העובדתי עצמו הכרנו את </w:t>
      </w:r>
      <w:r w:rsidRPr="002015B0">
        <w:rPr>
          <w:rFonts w:ascii="Arial" w:hAnsi="Arial" w:cs="David"/>
          <w:b/>
          <w:bCs/>
          <w:rtl/>
        </w:rPr>
        <w:t>המעשה</w:t>
      </w:r>
      <w:r w:rsidRPr="002015B0">
        <w:rPr>
          <w:rFonts w:ascii="Arial" w:hAnsi="Arial" w:cs="David"/>
          <w:rtl/>
        </w:rPr>
        <w:t xml:space="preserve"> הפלילי, אותו הגדרנו כ"פגיעה בזכותו של אדם אחר", וכן את </w:t>
      </w:r>
      <w:r w:rsidRPr="002015B0">
        <w:rPr>
          <w:rFonts w:ascii="Arial" w:hAnsi="Arial" w:cs="David"/>
          <w:b/>
          <w:bCs/>
          <w:rtl/>
        </w:rPr>
        <w:t>המחדל</w:t>
      </w:r>
      <w:r w:rsidRPr="002015B0">
        <w:rPr>
          <w:rFonts w:ascii="Arial" w:hAnsi="Arial" w:cs="David"/>
          <w:rtl/>
        </w:rPr>
        <w:t xml:space="preserve"> הפלילי, אותו הגדרנו כ"הימנעות מעשייה שהיא חובה לפי כל דין או חוזה".</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10: </w:t>
      </w:r>
      <w:r w:rsidRPr="002015B0">
        <w:rPr>
          <w:rFonts w:ascii="Arial" w:eastAsia="Times New Roman" w:hAnsi="Arial" w:cs="David"/>
          <w:b/>
          <w:bCs/>
          <w:sz w:val="24"/>
          <w:szCs w:val="24"/>
          <w:u w:val="single"/>
          <w:rtl/>
        </w:rPr>
        <w:t>מבוא לדיני עונשין (חלק ב')</w:t>
      </w:r>
    </w:p>
    <w:p w:rsidR="00C6586F" w:rsidRDefault="00C6586F"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היסוד הנפשי של העבירה (</w:t>
      </w:r>
      <w:proofErr w:type="spellStart"/>
      <w:r w:rsidRPr="002015B0">
        <w:rPr>
          <w:rFonts w:ascii="Arial" w:hAnsi="Arial" w:cs="David"/>
          <w:b/>
          <w:bCs/>
        </w:rPr>
        <w:t>Mens</w:t>
      </w:r>
      <w:proofErr w:type="spellEnd"/>
      <w:r w:rsidRPr="002015B0">
        <w:rPr>
          <w:rFonts w:ascii="Arial" w:hAnsi="Arial" w:cs="David"/>
          <w:b/>
          <w:bCs/>
        </w:rPr>
        <w:t xml:space="preserve"> Rea</w:t>
      </w:r>
      <w:r w:rsidRPr="002015B0">
        <w:rPr>
          <w:rFonts w:ascii="Arial" w:hAnsi="Arial" w:cs="David"/>
          <w:b/>
          <w:bCs/>
          <w:rtl/>
        </w:rPr>
        <w:t>)</w:t>
      </w:r>
      <w:r w:rsidRPr="002015B0">
        <w:rPr>
          <w:rFonts w:ascii="Arial" w:hAnsi="Arial" w:cs="David"/>
          <w:rtl/>
        </w:rPr>
        <w:t>- הלך הרוח הנפשי/פנימי של העבריין בתוך מבנה העבירה. ניתן לחשוב על היסוד הנפשי כעל מכלול העבירה, למעט היסוד העובדתי. היסוד הנפשי יכול להיות אחד משלושה סוגים: מחשבה פלילית, או רשלנות, או אחריות קפידה.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 xml:space="preserve">הרכיב </w:t>
      </w:r>
      <w:proofErr w:type="spellStart"/>
      <w:r w:rsidRPr="002015B0">
        <w:rPr>
          <w:rFonts w:ascii="Arial" w:hAnsi="Arial" w:cs="David"/>
          <w:b/>
          <w:bCs/>
          <w:rtl/>
        </w:rPr>
        <w:t>החפצי</w:t>
      </w:r>
      <w:proofErr w:type="spellEnd"/>
      <w:r w:rsidRPr="002015B0">
        <w:rPr>
          <w:rFonts w:ascii="Arial" w:hAnsi="Arial" w:cs="David"/>
          <w:rtl/>
        </w:rPr>
        <w:t>- רכיב הבודק האם לאדם היה חֵפֶץ (רצון) בתוצאה האסורה.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הרכיב ההכרתי</w:t>
      </w:r>
      <w:r w:rsidRPr="002015B0">
        <w:rPr>
          <w:rFonts w:ascii="Arial" w:hAnsi="Arial" w:cs="David"/>
          <w:rtl/>
        </w:rPr>
        <w:t>- רכיב הבודק עד כמה היה האדם מודע לטיב התנהגותו ולנסיבות שדרושות לשם היווצרות העבירה.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מחשבה פלילית (זדון)</w:t>
      </w:r>
      <w:r w:rsidRPr="002015B0">
        <w:rPr>
          <w:rFonts w:ascii="Arial" w:hAnsi="Arial" w:cs="David"/>
          <w:rtl/>
        </w:rPr>
        <w:t xml:space="preserve">- מודעות לטיב המעשה האסור, לקיום הנסיבות ולאפשרות הגרימה לתוצאות המעשה. בנוסף, בעבירות </w:t>
      </w:r>
      <w:proofErr w:type="spellStart"/>
      <w:r w:rsidRPr="002015B0">
        <w:rPr>
          <w:rFonts w:ascii="Arial" w:hAnsi="Arial" w:cs="David"/>
          <w:rtl/>
        </w:rPr>
        <w:t>תוצאתיות</w:t>
      </w:r>
      <w:proofErr w:type="spellEnd"/>
      <w:r w:rsidRPr="002015B0">
        <w:rPr>
          <w:rFonts w:ascii="Arial" w:hAnsi="Arial" w:cs="David"/>
          <w:rtl/>
        </w:rPr>
        <w:t xml:space="preserve"> בלבד - גם רכיב חפצי </w:t>
      </w:r>
      <w:proofErr w:type="spellStart"/>
      <w:r w:rsidRPr="002015B0">
        <w:rPr>
          <w:rFonts w:ascii="Arial" w:hAnsi="Arial" w:cs="David"/>
          <w:rtl/>
        </w:rPr>
        <w:t>מסויים</w:t>
      </w:r>
      <w:proofErr w:type="spellEnd"/>
      <w:r w:rsidRPr="002015B0">
        <w:rPr>
          <w:rFonts w:ascii="Arial" w:hAnsi="Arial" w:cs="David"/>
          <w:rtl/>
        </w:rPr>
        <w:t xml:space="preserve"> ביחס לתוצאה (כוונה או פזיזות). המחשבה הפלילית היא הרמה הגבוהה ביותר של היסוד הנפשי.</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הלכת הצפיות</w:t>
      </w:r>
      <w:r w:rsidRPr="002015B0">
        <w:rPr>
          <w:rFonts w:ascii="Arial" w:hAnsi="Arial" w:cs="David"/>
          <w:rtl/>
        </w:rPr>
        <w:t>- חזקה משפטית לפיה אדם שמבצע פעולה מתוך ידיעה שהתוצאות ייגרמו, יוחזק כמי שהתכוון לגרום לתוצאות, גם אם לא התכוון לכך בפועל.</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כוונה</w:t>
      </w:r>
      <w:r w:rsidRPr="002015B0">
        <w:rPr>
          <w:rFonts w:ascii="Arial" w:hAnsi="Arial" w:cs="David"/>
          <w:rtl/>
        </w:rPr>
        <w:t xml:space="preserve">- ההתנהגות הזדונית מכולן. התנהגות שיש בה </w:t>
      </w:r>
      <w:proofErr w:type="spellStart"/>
      <w:r w:rsidRPr="002015B0">
        <w:rPr>
          <w:rFonts w:ascii="Arial" w:hAnsi="Arial" w:cs="David"/>
          <w:rtl/>
        </w:rPr>
        <w:t>חפיצה</w:t>
      </w:r>
      <w:proofErr w:type="spellEnd"/>
      <w:r w:rsidRPr="002015B0">
        <w:rPr>
          <w:rFonts w:ascii="Arial" w:hAnsi="Arial" w:cs="David"/>
          <w:rtl/>
        </w:rPr>
        <w:t xml:space="preserve"> בתוצאה.</w:t>
      </w:r>
    </w:p>
    <w:p w:rsidR="0045569A" w:rsidRPr="002015B0" w:rsidRDefault="0045569A" w:rsidP="00C6586F">
      <w:pPr>
        <w:pStyle w:val="NormalWeb"/>
        <w:bidi/>
        <w:spacing w:beforeAutospacing="0" w:after="0" w:afterAutospacing="0"/>
        <w:ind w:right="113"/>
        <w:jc w:val="both"/>
        <w:rPr>
          <w:rFonts w:ascii="Arial" w:hAnsi="Arial" w:cs="David"/>
        </w:rPr>
      </w:pPr>
      <w:r w:rsidRPr="002015B0">
        <w:rPr>
          <w:rFonts w:ascii="Arial" w:hAnsi="Arial" w:cs="David"/>
          <w:b/>
          <w:bCs/>
          <w:rtl/>
        </w:rPr>
        <w:t>פזיזות</w:t>
      </w:r>
      <w:r w:rsidRPr="002015B0">
        <w:rPr>
          <w:rFonts w:ascii="Arial" w:hAnsi="Arial" w:cs="David"/>
          <w:rtl/>
        </w:rPr>
        <w:t>- הקלה מבין הצורות של הזדון. התנהגות שנחשבת זדונית, אך ברמה קלה יותר מאשר כוונה. הפזיזות מחולקת לאדישות ולקלות-דעת.</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אדישות</w:t>
      </w:r>
      <w:r w:rsidRPr="002015B0">
        <w:rPr>
          <w:rFonts w:ascii="Arial" w:hAnsi="Arial" w:cs="David"/>
          <w:rtl/>
        </w:rPr>
        <w:t>- חוסר אכפתיות לגבי אפשרות התרחשות התוצאה האסורה.</w:t>
      </w:r>
    </w:p>
    <w:p w:rsidR="0045569A" w:rsidRPr="002015B0" w:rsidRDefault="0045569A" w:rsidP="00C6586F">
      <w:pPr>
        <w:pStyle w:val="NormalWeb"/>
        <w:bidi/>
        <w:spacing w:beforeAutospacing="0" w:after="0" w:afterAutospacing="0"/>
        <w:ind w:right="113"/>
        <w:jc w:val="both"/>
        <w:rPr>
          <w:rFonts w:ascii="Arial" w:hAnsi="Arial" w:cs="David"/>
        </w:rPr>
      </w:pPr>
      <w:r w:rsidRPr="002015B0">
        <w:rPr>
          <w:rFonts w:ascii="Arial" w:hAnsi="Arial" w:cs="David"/>
          <w:b/>
          <w:bCs/>
          <w:rtl/>
        </w:rPr>
        <w:t>קלות דעת</w:t>
      </w:r>
      <w:r w:rsidRPr="002015B0">
        <w:rPr>
          <w:rFonts w:ascii="Arial" w:hAnsi="Arial" w:cs="David"/>
          <w:rtl/>
        </w:rPr>
        <w:t xml:space="preserve">- נטילת סיכון בלתי סביר מתוך תקווה למנוע את התרחשות התוצאה האסורה. </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עצימת עיניים</w:t>
      </w:r>
      <w:r w:rsidRPr="002015B0">
        <w:rPr>
          <w:rFonts w:ascii="Arial" w:hAnsi="Arial" w:cs="David"/>
          <w:rtl/>
        </w:rPr>
        <w:t>- "עיוורון מכוון". הימנעות מכוונת מבירור טיב ההתנהגות או הנסיבות אשר מגבשים את העבירה.</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רשלנות</w:t>
      </w:r>
      <w:r w:rsidRPr="002015B0">
        <w:rPr>
          <w:rFonts w:ascii="Arial" w:hAnsi="Arial" w:cs="David"/>
          <w:rtl/>
        </w:rPr>
        <w:t>- התנהגות המובילה לתוצאה אסורה מבלי שהעושה היה מודע לטיב מעשיו, לקיום הנסיבות או לאפשרות גרימת התוצאה (רכיבי היסוד העובדתי). המבחן לקביעת הרשלנות הוא מבחן אובייקטיבי, הידוע גם כ"מבחן האדם הסביר" (או "מבחן האדם מן הישוב"). כלומר - על האדם תוטל אחריות פלילית על-אף שהוא לא היה מודע בפועל לרכיבי היסוד העובדתי, זאת כאשר היה מצופה ממנו להיות מודע לאותם רכיבים ("אדם סביר" במקומו כן היה מודע). הרשלנות היא דרגת הביניים של היסוד הנפשי.</w:t>
      </w:r>
    </w:p>
    <w:p w:rsidR="0045569A" w:rsidRPr="002015B0" w:rsidRDefault="00C6586F" w:rsidP="00C6586F">
      <w:pPr>
        <w:pStyle w:val="NormalWeb"/>
        <w:bidi/>
        <w:spacing w:beforeAutospacing="0" w:after="0" w:afterAutospacing="0"/>
        <w:ind w:right="113"/>
        <w:jc w:val="both"/>
        <w:rPr>
          <w:rFonts w:ascii="Arial" w:hAnsi="Arial" w:cs="David"/>
          <w:rtl/>
        </w:rPr>
      </w:pPr>
      <w:r>
        <w:rPr>
          <w:rFonts w:ascii="Arial" w:hAnsi="Arial" w:cs="David"/>
          <w:b/>
          <w:bCs/>
          <w:rtl/>
        </w:rPr>
        <w:t>מודעות בפועל</w:t>
      </w:r>
      <w:r w:rsidR="0045569A" w:rsidRPr="002015B0">
        <w:rPr>
          <w:rFonts w:ascii="Arial" w:hAnsi="Arial" w:cs="David"/>
          <w:rtl/>
        </w:rPr>
        <w:t>- מודעות לטיב המעשה, לקיום הנסיבות או לאפשרות גרימת התוצאה (רכיבי היסוד העובדתי).</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מודעות בכוח</w:t>
      </w:r>
      <w:r w:rsidRPr="002015B0">
        <w:rPr>
          <w:rFonts w:ascii="Arial" w:hAnsi="Arial" w:cs="David"/>
          <w:rtl/>
        </w:rPr>
        <w:t xml:space="preserve">- ההיפך ממודעות בפועל. מודעות שלא הייתה קיימת אצל הנאשם, אבל ראוי היה </w:t>
      </w:r>
      <w:proofErr w:type="spellStart"/>
      <w:r w:rsidRPr="002015B0">
        <w:rPr>
          <w:rFonts w:ascii="Arial" w:hAnsi="Arial" w:cs="David"/>
          <w:rtl/>
        </w:rPr>
        <w:t>שהיתה</w:t>
      </w:r>
      <w:proofErr w:type="spellEnd"/>
      <w:r w:rsidRPr="002015B0">
        <w:rPr>
          <w:rFonts w:ascii="Arial" w:hAnsi="Arial" w:cs="David"/>
          <w:rtl/>
        </w:rPr>
        <w:t xml:space="preserve"> קיימת אצלו (פוטנציאל מודעות שלא התממש).</w:t>
      </w:r>
    </w:p>
    <w:p w:rsidR="0045569A" w:rsidRPr="002015B0" w:rsidRDefault="0045569A" w:rsidP="00C6586F">
      <w:pPr>
        <w:pStyle w:val="NormalWeb"/>
        <w:bidi/>
        <w:spacing w:beforeAutospacing="0" w:after="0" w:afterAutospacing="0"/>
        <w:ind w:right="113"/>
        <w:jc w:val="both"/>
        <w:rPr>
          <w:rFonts w:ascii="Arial" w:hAnsi="Arial" w:cs="David"/>
          <w:rtl/>
        </w:rPr>
      </w:pPr>
      <w:r w:rsidRPr="002015B0">
        <w:rPr>
          <w:rFonts w:ascii="Arial" w:hAnsi="Arial" w:cs="David"/>
          <w:b/>
          <w:bCs/>
          <w:rtl/>
        </w:rPr>
        <w:t>אחריות קפידה</w:t>
      </w:r>
      <w:r w:rsidRPr="002015B0">
        <w:rPr>
          <w:rFonts w:ascii="Arial" w:hAnsi="Arial" w:cs="David"/>
          <w:rtl/>
        </w:rPr>
        <w:t xml:space="preserve">- מצב בו אדם מוחזק כאשם בעבירה פלילית, זאת רק מעצם ביצוע המעשה עצמו (יש </w:t>
      </w:r>
      <w:proofErr w:type="spellStart"/>
      <w:r w:rsidRPr="002015B0">
        <w:rPr>
          <w:rFonts w:ascii="Arial" w:hAnsi="Arial" w:cs="David"/>
          <w:rtl/>
        </w:rPr>
        <w:t>אקטוס-ריאוס</w:t>
      </w:r>
      <w:proofErr w:type="spellEnd"/>
      <w:r w:rsidRPr="002015B0">
        <w:rPr>
          <w:rFonts w:ascii="Arial" w:hAnsi="Arial" w:cs="David"/>
          <w:rtl/>
        </w:rPr>
        <w:t>), אפילו ללא צורך בהוכחת יסוד נפשי כלשהו (בין בפועל ובין בכוח). כלומר, עצם העובדה שהמעשה בוצע מספיקה כדי להטיל אחריות פלילית על העושה. האחריות הקפידה היא הרמה הנמוכה ביותר של היסוד הנפשי.</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בשיעור זה המשכנו את הדיון על דיני העונשין של מדינת ישראל.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בהמשך טבעי לשיעור הקודם, אותו סיימנו בדיון על היסוד העובדתי של העבירה, את השיעור הנוכחי הקדשנו כל-כולו ליסוד </w:t>
      </w:r>
      <w:r w:rsidRPr="002015B0">
        <w:rPr>
          <w:rFonts w:ascii="Arial" w:hAnsi="Arial" w:cs="David"/>
          <w:b/>
          <w:bCs/>
          <w:rtl/>
        </w:rPr>
        <w:t>הנפשי</w:t>
      </w:r>
      <w:r w:rsidRPr="002015B0">
        <w:rPr>
          <w:rFonts w:ascii="Arial" w:hAnsi="Arial" w:cs="David"/>
          <w:rtl/>
        </w:rPr>
        <w:t xml:space="preserve"> של העבירה.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כפי שנוכחנו לדעת, הנחת היסוד של דיני העונשין היא כי המעשה כשלעצמו לא יוצר עבירה פלילית אם לא מתלווה אליו גם יסוד נפשי כלשהו. זהו </w:t>
      </w:r>
      <w:proofErr w:type="spellStart"/>
      <w:r w:rsidRPr="002015B0">
        <w:rPr>
          <w:rFonts w:ascii="Arial" w:hAnsi="Arial" w:cs="David"/>
          <w:rtl/>
        </w:rPr>
        <w:t>העקרון</w:t>
      </w:r>
      <w:proofErr w:type="spellEnd"/>
      <w:r w:rsidRPr="002015B0">
        <w:rPr>
          <w:rFonts w:ascii="Arial" w:hAnsi="Arial" w:cs="David"/>
          <w:rtl/>
        </w:rPr>
        <w:t xml:space="preserve"> הידוע גם כעקרון האשמה של העבירה אשר שורשיו נעוצים כבר במשפט העברי וכן במשפט המקובל החל מהמאה ה- 13.</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בשיעור זה ראינו כי המשפט הפלילי מבחין בין ההיבט </w:t>
      </w:r>
      <w:r w:rsidRPr="002015B0">
        <w:rPr>
          <w:rFonts w:ascii="Arial" w:hAnsi="Arial" w:cs="David"/>
          <w:b/>
          <w:bCs/>
          <w:rtl/>
        </w:rPr>
        <w:t>ההכרתי</w:t>
      </w:r>
      <w:r w:rsidRPr="002015B0">
        <w:rPr>
          <w:rFonts w:ascii="Arial" w:hAnsi="Arial" w:cs="David"/>
          <w:rtl/>
        </w:rPr>
        <w:t xml:space="preserve"> (הבודק עד כמה האדם ידע והכיר את המציאות) להיבט </w:t>
      </w:r>
      <w:proofErr w:type="spellStart"/>
      <w:r w:rsidRPr="002015B0">
        <w:rPr>
          <w:rFonts w:ascii="Arial" w:hAnsi="Arial" w:cs="David"/>
          <w:b/>
          <w:bCs/>
          <w:rtl/>
        </w:rPr>
        <w:t>החפצי</w:t>
      </w:r>
      <w:proofErr w:type="spellEnd"/>
      <w:r w:rsidRPr="002015B0">
        <w:rPr>
          <w:rFonts w:ascii="Arial" w:hAnsi="Arial" w:cs="David"/>
          <w:rtl/>
        </w:rPr>
        <w:t xml:space="preserve"> (הבודק האם לאדם היה רצון בתוצאה האסורה) שליוו את הלך רוחו של האדם בעת ביצוע העבירה. כן ראינו כי על-פי דיני העונשין בישראל, על-מנת להרשיע אדם בעבירה פלילית יש צורך להוכיח כי הוא פעל במחשבה פלילית, כאשר היוצאים מן הכלל לדרישת המחשבה הפלילית הם הרשלנות והאחריות הקפידה.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כאשר דנו </w:t>
      </w:r>
      <w:r w:rsidRPr="002015B0">
        <w:rPr>
          <w:rFonts w:ascii="Arial" w:hAnsi="Arial" w:cs="David"/>
          <w:b/>
          <w:bCs/>
          <w:rtl/>
        </w:rPr>
        <w:t>במחשבה הפלילית</w:t>
      </w:r>
      <w:r w:rsidRPr="002015B0">
        <w:rPr>
          <w:rFonts w:ascii="Arial" w:hAnsi="Arial" w:cs="David"/>
          <w:rtl/>
        </w:rPr>
        <w:t xml:space="preserve"> למדנו כי היא "שואלת" איזה יסוד נפשי צריך להצטרף לכל אחד מרכיבי היסוד העובדתי של העבירה (מעשה, נסיבות ותוצאה), על-מנת שתתגבש עבירה פלילית. יחד עם זאת, ראינו כי המשפט הפלילי איננו דורש תמיד הוכחתה של </w:t>
      </w:r>
      <w:r w:rsidRPr="002015B0">
        <w:rPr>
          <w:rFonts w:ascii="Arial" w:hAnsi="Arial" w:cs="David"/>
          <w:b/>
          <w:bCs/>
          <w:rtl/>
        </w:rPr>
        <w:t>כוונה</w:t>
      </w:r>
      <w:r w:rsidRPr="002015B0">
        <w:rPr>
          <w:rFonts w:ascii="Arial" w:hAnsi="Arial" w:cs="David"/>
          <w:rtl/>
        </w:rPr>
        <w:t xml:space="preserve"> מצדו של האדם על-מנת שהוא יוכר כאחראי בפלילים, וכי המשפט מחזיק את האדם כמי שהתכוון לגרום לתוצאות (גם אם הוא לא התכוון לגרום אותן בפועל), זאת כאשר אותו אדם מבצע פעולה מתוך </w:t>
      </w:r>
      <w:r w:rsidRPr="002015B0">
        <w:rPr>
          <w:rFonts w:ascii="Arial" w:hAnsi="Arial" w:cs="David"/>
          <w:b/>
          <w:bCs/>
          <w:rtl/>
        </w:rPr>
        <w:t>ידיעה</w:t>
      </w:r>
      <w:r w:rsidRPr="002015B0">
        <w:rPr>
          <w:rFonts w:ascii="Arial" w:hAnsi="Arial" w:cs="David"/>
          <w:rtl/>
        </w:rPr>
        <w:t xml:space="preserve"> שהתוצאות ייגרמו (</w:t>
      </w:r>
      <w:r w:rsidRPr="002015B0">
        <w:rPr>
          <w:rFonts w:ascii="Arial" w:hAnsi="Arial" w:cs="David"/>
          <w:b/>
          <w:bCs/>
          <w:rtl/>
        </w:rPr>
        <w:t>הלכת הצפיות</w:t>
      </w:r>
      <w:r w:rsidRPr="002015B0">
        <w:rPr>
          <w:rFonts w:ascii="Arial" w:hAnsi="Arial" w:cs="David"/>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עוד למדנו כי הרכיב </w:t>
      </w:r>
      <w:proofErr w:type="spellStart"/>
      <w:r w:rsidRPr="002015B0">
        <w:rPr>
          <w:rFonts w:ascii="Arial" w:hAnsi="Arial" w:cs="David"/>
          <w:rtl/>
        </w:rPr>
        <w:t>החפצי</w:t>
      </w:r>
      <w:proofErr w:type="spellEnd"/>
      <w:r w:rsidRPr="002015B0">
        <w:rPr>
          <w:rFonts w:ascii="Arial" w:hAnsi="Arial" w:cs="David"/>
          <w:rtl/>
        </w:rPr>
        <w:t xml:space="preserve"> (הבודק האם לאדם היה רצון בתוצאה האסורה), יכול להיות אחד משניים: </w:t>
      </w:r>
      <w:r w:rsidRPr="002015B0">
        <w:rPr>
          <w:rFonts w:ascii="Arial" w:hAnsi="Arial" w:cs="David"/>
          <w:b/>
          <w:bCs/>
          <w:rtl/>
        </w:rPr>
        <w:t>כוונה</w:t>
      </w:r>
      <w:r w:rsidRPr="002015B0">
        <w:rPr>
          <w:rFonts w:ascii="Arial" w:hAnsi="Arial" w:cs="David"/>
          <w:rtl/>
        </w:rPr>
        <w:t xml:space="preserve"> (</w:t>
      </w:r>
      <w:proofErr w:type="spellStart"/>
      <w:r w:rsidRPr="002015B0">
        <w:rPr>
          <w:rFonts w:ascii="Arial" w:hAnsi="Arial" w:cs="David"/>
          <w:rtl/>
        </w:rPr>
        <w:t>חפיצה</w:t>
      </w:r>
      <w:proofErr w:type="spellEnd"/>
      <w:r w:rsidRPr="002015B0">
        <w:rPr>
          <w:rFonts w:ascii="Arial" w:hAnsi="Arial" w:cs="David"/>
          <w:rtl/>
        </w:rPr>
        <w:t xml:space="preserve">/רצון בתוצאה) או </w:t>
      </w:r>
      <w:r w:rsidRPr="002015B0">
        <w:rPr>
          <w:rFonts w:ascii="Arial" w:hAnsi="Arial" w:cs="David"/>
          <w:b/>
          <w:bCs/>
          <w:rtl/>
        </w:rPr>
        <w:t>פזיזות</w:t>
      </w:r>
      <w:r w:rsidRPr="002015B0">
        <w:rPr>
          <w:rFonts w:ascii="Arial" w:hAnsi="Arial" w:cs="David"/>
          <w:rtl/>
        </w:rPr>
        <w:t xml:space="preserve"> (אשר גם היא מחולקת לשניים: </w:t>
      </w:r>
      <w:r w:rsidRPr="002015B0">
        <w:rPr>
          <w:rFonts w:ascii="Arial" w:hAnsi="Arial" w:cs="David"/>
          <w:b/>
          <w:bCs/>
          <w:rtl/>
        </w:rPr>
        <w:t>אדישות</w:t>
      </w:r>
      <w:r w:rsidRPr="002015B0">
        <w:rPr>
          <w:rFonts w:ascii="Arial" w:hAnsi="Arial" w:cs="David"/>
          <w:rtl/>
        </w:rPr>
        <w:t xml:space="preserve"> - בה האדם לקה בחוסר אכפתיות </w:t>
      </w:r>
      <w:r w:rsidRPr="002015B0">
        <w:rPr>
          <w:rFonts w:ascii="Arial" w:hAnsi="Arial" w:cs="David"/>
          <w:rtl/>
        </w:rPr>
        <w:lastRenderedPageBreak/>
        <w:t xml:space="preserve">לגבי אפשרות התרחשות התוצאה, או </w:t>
      </w:r>
      <w:r w:rsidRPr="002015B0">
        <w:rPr>
          <w:rFonts w:ascii="Arial" w:hAnsi="Arial" w:cs="David"/>
          <w:b/>
          <w:bCs/>
          <w:rtl/>
        </w:rPr>
        <w:t>קלות דעת</w:t>
      </w:r>
      <w:r w:rsidRPr="002015B0">
        <w:rPr>
          <w:rFonts w:ascii="Arial" w:hAnsi="Arial" w:cs="David"/>
          <w:rtl/>
        </w:rPr>
        <w:t xml:space="preserve"> - בה האדם פועל מתוך תקווה למנוע את התרחשות התוצאה, אך נוטל סיכון בלתי סביר).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מונח נוסף עליו עמדנו במסגרת הדיון על המחשבה הפלילית הוא מושג "</w:t>
      </w:r>
      <w:r w:rsidRPr="002015B0">
        <w:rPr>
          <w:rFonts w:ascii="Arial" w:hAnsi="Arial" w:cs="David"/>
          <w:b/>
          <w:bCs/>
          <w:rtl/>
        </w:rPr>
        <w:t>עצימת העיניים</w:t>
      </w:r>
      <w:r w:rsidRPr="002015B0">
        <w:rPr>
          <w:rFonts w:ascii="Arial" w:hAnsi="Arial" w:cs="David"/>
          <w:rtl/>
        </w:rPr>
        <w:t>", במסגרתו ראינו כי המשפט מחזיק אדם כמי שהיה מודע לטיב התנהגותו או לנסיבות הדרושים לשם התגבשות העבירה, אם הוא חשד בדבר אך נמנע מלברר אותם.</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לסיכום סוגיית המחשבה הפלילית ראינו כי הידיעה או החשד של הנאשם צריכים להיות סובייקטיביים על-מנת שתוטל עליו אחריות פלילית. כלומר, דרישת חוק העונשין הישראלי היא שהנאשם עצמו יישא בפגם פלילי, ולפיכך אם הוא טעה בהבנת התנהגותו או בידיעת הנסיבות בתום לב, הרי שלא תוטל עליו אחריות פלילית למעשיו.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כאשר שוחחנו על </w:t>
      </w:r>
      <w:r w:rsidRPr="002015B0">
        <w:rPr>
          <w:rFonts w:ascii="Arial" w:hAnsi="Arial" w:cs="David"/>
          <w:b/>
          <w:bCs/>
          <w:rtl/>
        </w:rPr>
        <w:t>רשלנות</w:t>
      </w:r>
      <w:r w:rsidRPr="002015B0">
        <w:rPr>
          <w:rFonts w:ascii="Arial" w:hAnsi="Arial" w:cs="David"/>
          <w:rtl/>
        </w:rPr>
        <w:t xml:space="preserve"> ראינו כי גם הרשלנות היא חלק מהדיון על היסוד הנפשי של העבירה, אלא שהיא חריג ונטע זר במשפט הפלילי. הרשלנות קובעת כי לגבי עבירות </w:t>
      </w:r>
      <w:proofErr w:type="spellStart"/>
      <w:r w:rsidRPr="002015B0">
        <w:rPr>
          <w:rFonts w:ascii="Arial" w:hAnsi="Arial" w:cs="David"/>
          <w:rtl/>
        </w:rPr>
        <w:t>מסויימות</w:t>
      </w:r>
      <w:proofErr w:type="spellEnd"/>
      <w:r w:rsidRPr="002015B0">
        <w:rPr>
          <w:rFonts w:ascii="Arial" w:hAnsi="Arial" w:cs="David"/>
          <w:rtl/>
        </w:rPr>
        <w:t xml:space="preserve">, ורק לגבי העבירות שבהן מוגדר שדי ביסוד נפשי של רשלנות, אין צורך בהוכחת מחשבה פלילית ברמה של זדון אצל הנאשם, וניתן להסתפק באשמה נמוכה יותר אשר נובעת לא ממצבו הנפשי הסובייקטיבי של העבריין, אלא מהעובדה שלא עמד בסטנדרט התנהגות רצוי ונדרש בחברה (סטנדרט אובייקטיבי). כלומר, אצל הנאשם לא </w:t>
      </w:r>
      <w:proofErr w:type="spellStart"/>
      <w:r w:rsidRPr="002015B0">
        <w:rPr>
          <w:rFonts w:ascii="Arial" w:hAnsi="Arial" w:cs="David"/>
          <w:rtl/>
        </w:rPr>
        <w:t>היתה</w:t>
      </w:r>
      <w:proofErr w:type="spellEnd"/>
      <w:r w:rsidRPr="002015B0">
        <w:rPr>
          <w:rFonts w:ascii="Arial" w:hAnsi="Arial" w:cs="David"/>
          <w:rtl/>
        </w:rPr>
        <w:t xml:space="preserve"> </w:t>
      </w:r>
      <w:r w:rsidRPr="002015B0">
        <w:rPr>
          <w:rFonts w:ascii="Arial" w:hAnsi="Arial" w:cs="David"/>
          <w:b/>
          <w:bCs/>
          <w:rtl/>
        </w:rPr>
        <w:t>מודעות בפועל</w:t>
      </w:r>
      <w:r w:rsidRPr="002015B0">
        <w:rPr>
          <w:rFonts w:ascii="Arial" w:hAnsi="Arial" w:cs="David"/>
          <w:rtl/>
        </w:rPr>
        <w:t xml:space="preserve"> לרכיבי היסוד העובדתי של העבירה, אולם היא </w:t>
      </w:r>
      <w:proofErr w:type="spellStart"/>
      <w:r w:rsidRPr="002015B0">
        <w:rPr>
          <w:rFonts w:ascii="Arial" w:hAnsi="Arial" w:cs="David"/>
          <w:rtl/>
        </w:rPr>
        <w:t>היתה</w:t>
      </w:r>
      <w:proofErr w:type="spellEnd"/>
      <w:r w:rsidRPr="002015B0">
        <w:rPr>
          <w:rFonts w:ascii="Arial" w:hAnsi="Arial" w:cs="David"/>
          <w:rtl/>
        </w:rPr>
        <w:t xml:space="preserve"> קיימת אצלו בפוטנציה (</w:t>
      </w:r>
      <w:r w:rsidRPr="002015B0">
        <w:rPr>
          <w:rFonts w:ascii="Arial" w:hAnsi="Arial" w:cs="David"/>
          <w:b/>
          <w:bCs/>
          <w:rtl/>
        </w:rPr>
        <w:t>מודעות בכוח</w:t>
      </w:r>
      <w:r w:rsidRPr="002015B0">
        <w:rPr>
          <w:rFonts w:ascii="Arial" w:hAnsi="Arial" w:cs="David"/>
          <w:rtl/>
        </w:rPr>
        <w:t xml:space="preserve">) והוא לא מימש אותה. המשפט הפלילי מחזיק את האדם הזה אחראי על-כך שהוא לא מימש את המודעות </w:t>
      </w:r>
      <w:proofErr w:type="spellStart"/>
      <w:r w:rsidRPr="002015B0">
        <w:rPr>
          <w:rFonts w:ascii="Arial" w:hAnsi="Arial" w:cs="David"/>
          <w:rtl/>
        </w:rPr>
        <w:t>שהיתה</w:t>
      </w:r>
      <w:proofErr w:type="spellEnd"/>
      <w:r w:rsidRPr="002015B0">
        <w:rPr>
          <w:rFonts w:ascii="Arial" w:hAnsi="Arial" w:cs="David"/>
          <w:rtl/>
        </w:rPr>
        <w:t xml:space="preserve"> יכולה להיות לו, ושהוא לא עמד בסטנדרט ההתנהגות שהאדם מן היישוב היה נוהג על פיו.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לעומת זאת, כאשר שוחחנו על </w:t>
      </w:r>
      <w:r w:rsidRPr="002015B0">
        <w:rPr>
          <w:rFonts w:ascii="Arial" w:hAnsi="Arial" w:cs="David"/>
          <w:b/>
          <w:bCs/>
          <w:rtl/>
        </w:rPr>
        <w:t>האחריות הקפידה</w:t>
      </w:r>
      <w:r w:rsidRPr="002015B0">
        <w:rPr>
          <w:rFonts w:ascii="Arial" w:hAnsi="Arial" w:cs="David"/>
          <w:rtl/>
        </w:rPr>
        <w:t xml:space="preserve">, אשר אף היא חלק מהיסוד הנפשי של העבירה, ראינו כי ישנן עבירות מסוימות - קלות באופיין - בהן אין התביעה צריכה להוכיח מחשבה פלילית מצדו של העבריין (ואפילו לא רשלנות), על-מנת להרשיע את העבריין, ודי שהיא מוכיחה את המעשה עצמו. </w:t>
      </w:r>
    </w:p>
    <w:p w:rsidR="0045569A" w:rsidRPr="002015B0" w:rsidRDefault="0045569A" w:rsidP="00B20AF3">
      <w:pPr>
        <w:pStyle w:val="NormalWeb"/>
        <w:bidi/>
        <w:spacing w:beforeAutospacing="0" w:after="0" w:afterAutospacing="0"/>
        <w:ind w:right="113"/>
        <w:jc w:val="both"/>
        <w:rPr>
          <w:rFonts w:ascii="Arial" w:hAnsi="Arial" w:cs="David"/>
          <w:color w:val="FFFFFF"/>
          <w:rtl/>
        </w:rPr>
      </w:pPr>
      <w:r w:rsidRPr="002015B0">
        <w:rPr>
          <w:rFonts w:ascii="Arial" w:hAnsi="Arial" w:cs="David"/>
          <w:rtl/>
        </w:rPr>
        <w:t>בכך סיימנו את השיעור ולמעשה גם את הדיון כולו על המשפט הפלילי בישראל.</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8A6A56" w:rsidRPr="002015B0" w:rsidRDefault="008A6A5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 xml:space="preserve">שיעור 11: </w:t>
      </w:r>
      <w:r w:rsidRPr="002015B0">
        <w:rPr>
          <w:rFonts w:ascii="Arial" w:eastAsia="Times New Roman" w:hAnsi="Arial" w:cs="David"/>
          <w:b/>
          <w:bCs/>
          <w:sz w:val="24"/>
          <w:szCs w:val="24"/>
          <w:u w:val="single"/>
          <w:rtl/>
        </w:rPr>
        <w:t>מבוא לדיני תאגידים וחברות</w:t>
      </w:r>
    </w:p>
    <w:p w:rsidR="00B20AF3" w:rsidRDefault="00B20AF3"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תאגיד</w:t>
      </w:r>
      <w:r w:rsidRPr="002015B0">
        <w:rPr>
          <w:rFonts w:ascii="Arial" w:hAnsi="Arial" w:cs="David"/>
          <w:rtl/>
        </w:rPr>
        <w:t>- אישיות משפטית עצמאית מלאכותית בעלת כשרות כללית, הנושאת בזכויות ובחובות משלה (כגון: חברה, עמותה, שותפות רשומה, רשות מקומית ועוד).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אישיות משפטית</w:t>
      </w:r>
      <w:r w:rsidRPr="002015B0">
        <w:rPr>
          <w:rFonts w:ascii="Arial" w:hAnsi="Arial" w:cs="David"/>
          <w:rtl/>
        </w:rPr>
        <w:t>- הכרת השיטה המשפטית בתופעה פלונית כבעלת זכויות וחובות במשפט.</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כשרות משפטית</w:t>
      </w:r>
      <w:r w:rsidRPr="002015B0">
        <w:rPr>
          <w:rFonts w:ascii="Arial" w:hAnsi="Arial" w:cs="David"/>
          <w:rtl/>
        </w:rPr>
        <w:t>- הסמכות שניתנת לאישיות המשפטית לפעול, להתחייב, לחתום על חוזים, להתקשר בעסקאות ולעשות פעולות שאדם טבעי יכול ורשאי לעשות.</w:t>
      </w:r>
    </w:p>
    <w:p w:rsidR="0045569A" w:rsidRPr="002015B0" w:rsidRDefault="00B20AF3" w:rsidP="00B20AF3">
      <w:pPr>
        <w:pStyle w:val="NormalWeb"/>
        <w:bidi/>
        <w:spacing w:beforeAutospacing="0" w:after="0" w:afterAutospacing="0"/>
        <w:ind w:right="113"/>
        <w:jc w:val="both"/>
        <w:rPr>
          <w:rFonts w:ascii="Arial" w:hAnsi="Arial" w:cs="David"/>
          <w:rtl/>
        </w:rPr>
      </w:pPr>
      <w:r>
        <w:rPr>
          <w:rFonts w:ascii="Arial" w:hAnsi="Arial" w:cs="David"/>
          <w:b/>
          <w:bCs/>
          <w:rtl/>
        </w:rPr>
        <w:t>כשרות משפטית כללית</w:t>
      </w:r>
      <w:r w:rsidR="0045569A" w:rsidRPr="002015B0">
        <w:rPr>
          <w:rFonts w:ascii="Arial" w:hAnsi="Arial" w:cs="David"/>
          <w:rtl/>
        </w:rPr>
        <w:t>- כשרות משפטית שלא הוגבלה בחוק או על-ידי בית המשפט.</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אישיות משפטית נפרדת</w:t>
      </w:r>
      <w:r w:rsidRPr="002015B0">
        <w:rPr>
          <w:rFonts w:ascii="Arial" w:hAnsi="Arial" w:cs="David"/>
          <w:rtl/>
        </w:rPr>
        <w:t>- גוף משפטי תאגידי שיש לו הכשרות לחוב ולזכות באופן עצמאי, כאשר לאותם פרטים יחידים שהקימו את התאגיד אין חלק בחובות ו/או בזכויות התאגיד. האישיות המשפטית היא נפרדת, שהרי חובות/זכויות התאגיד נפרדים מהחובות/זכויות של היחידים שמרכיבים אותו.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מניה</w:t>
      </w:r>
      <w:r w:rsidRPr="002015B0">
        <w:rPr>
          <w:rFonts w:ascii="Arial" w:hAnsi="Arial" w:cs="David"/>
          <w:rtl/>
        </w:rPr>
        <w:t>- חלק בהון החברה המקנה לבעליה זכויות חוזית בחברה, כאשר הזכויות קבועות בדין ובתקנון החברה.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אגרת חוב (אג"ח)</w:t>
      </w:r>
      <w:r w:rsidRPr="002015B0">
        <w:rPr>
          <w:rFonts w:ascii="Arial" w:hAnsi="Arial" w:cs="David"/>
          <w:rtl/>
        </w:rPr>
        <w:t xml:space="preserve">- מסמך שמאשר שניתנה הלוואה לחברה תמורת שיעבוד חלק מנכסי החברה כבטוחה להחזר ההלוואה. יחסית לבעל המניות, בעל </w:t>
      </w:r>
      <w:proofErr w:type="spellStart"/>
      <w:r w:rsidRPr="002015B0">
        <w:rPr>
          <w:rFonts w:ascii="Arial" w:hAnsi="Arial" w:cs="David"/>
          <w:rtl/>
        </w:rPr>
        <w:t>האג"ח</w:t>
      </w:r>
      <w:proofErr w:type="spellEnd"/>
      <w:r w:rsidRPr="002015B0">
        <w:rPr>
          <w:rFonts w:ascii="Arial" w:hAnsi="Arial" w:cs="David"/>
          <w:rtl/>
        </w:rPr>
        <w:t xml:space="preserve"> מובטח יותר ובעל המניות מסתכן יותר.</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חברה</w:t>
      </w:r>
      <w:r w:rsidRPr="002015B0">
        <w:rPr>
          <w:rFonts w:ascii="Arial" w:hAnsi="Arial" w:cs="David"/>
          <w:rtl/>
        </w:rPr>
        <w:t>- תאגיד לשם הפקת רווחים כאשר אחריות החברים היא מוגבלת.</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עמותה</w:t>
      </w:r>
      <w:r w:rsidRPr="002015B0">
        <w:rPr>
          <w:rFonts w:ascii="Arial" w:hAnsi="Arial" w:cs="David"/>
          <w:rtl/>
        </w:rPr>
        <w:t>- תאגיד שלא למטרת חלוקת רווחים.</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שותפות</w:t>
      </w:r>
      <w:r w:rsidRPr="002015B0">
        <w:rPr>
          <w:rFonts w:ascii="Arial" w:hAnsi="Arial" w:cs="David"/>
          <w:rtl/>
        </w:rPr>
        <w:t xml:space="preserve">- תאגיד לשם הפקת רווחים כאשר אחריות החברים אינה מוגבלת.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אגודה שיתופית</w:t>
      </w:r>
      <w:r w:rsidRPr="002015B0">
        <w:rPr>
          <w:rFonts w:ascii="Arial" w:hAnsi="Arial" w:cs="David"/>
          <w:rtl/>
        </w:rPr>
        <w:t>- תאגיד לשם עזרה הדדית ועזרת גומלין, תוך ערבות הדדית של החברים.</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תורת האורגנים</w:t>
      </w:r>
      <w:r w:rsidRPr="002015B0">
        <w:rPr>
          <w:rFonts w:ascii="Arial" w:hAnsi="Arial" w:cs="David"/>
          <w:rtl/>
        </w:rPr>
        <w:t xml:space="preserve">- דוקטרינה משפטית לפיה במצבים מסוימים אנו מייחסים את המחשבה והמעשים של אורגן </w:t>
      </w:r>
      <w:proofErr w:type="spellStart"/>
      <w:r w:rsidRPr="002015B0">
        <w:rPr>
          <w:rFonts w:ascii="Arial" w:hAnsi="Arial" w:cs="David"/>
          <w:rtl/>
        </w:rPr>
        <w:t>מסויים</w:t>
      </w:r>
      <w:proofErr w:type="spellEnd"/>
      <w:r w:rsidRPr="002015B0">
        <w:rPr>
          <w:rFonts w:ascii="Arial" w:hAnsi="Arial" w:cs="David"/>
          <w:rtl/>
        </w:rPr>
        <w:t xml:space="preserve"> בתאגיד לתאגיד עצמו, ואז באותן נסיבות עובדתיות ניתן להטיל על התאגיד חובה/זכות בשל המחשבה והמעשים של אותו אורגן.</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חברה ציבורית</w:t>
      </w:r>
      <w:r w:rsidRPr="002015B0">
        <w:rPr>
          <w:rFonts w:ascii="Arial" w:hAnsi="Arial" w:cs="David"/>
          <w:rtl/>
        </w:rPr>
        <w:t>- חברה שמניותיה רשומות בבורסה או שהוצעו לציבור על-פי תשקיף כמשמעותו בחוק ניירות ערך ושמניותיה מוחזקות בידי הציבור.</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חברה פרטית</w:t>
      </w:r>
      <w:r w:rsidRPr="002015B0">
        <w:rPr>
          <w:rFonts w:ascii="Arial" w:hAnsi="Arial" w:cs="David"/>
          <w:rtl/>
        </w:rPr>
        <w:t>- חברה שאיננה חברה ציבורית (הגדרה שיורית).</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בורסה לניירות ערך</w:t>
      </w:r>
      <w:r w:rsidRPr="002015B0">
        <w:rPr>
          <w:rFonts w:ascii="Arial" w:hAnsi="Arial" w:cs="David"/>
          <w:rtl/>
        </w:rPr>
        <w:t>- שוק מאורגן ורצוף בו סוחרים בניירות ערך, אשר מגביל את המסחר בו לחברים בו בלבד, אשר מסדיר את עצמו ואשר מפקח על הנכסים הנסחרים בו. זהו המקום בו נערך המסחר בניירות ערך.</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חברה מוגבלת באחריות</w:t>
      </w:r>
      <w:r w:rsidRPr="002015B0">
        <w:rPr>
          <w:rFonts w:ascii="Arial" w:hAnsi="Arial" w:cs="David"/>
          <w:rtl/>
        </w:rPr>
        <w:t xml:space="preserve">- חברה שאחריות בעלי המניות שלה מוגבלת באופן המפורט בתקנון החברה. החברה חייבת לציין את המלים "בערבון מוגבל" או "בע"מ" בסוף שמה. </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חברה שאינה מוגבלת באחריות</w:t>
      </w:r>
      <w:r w:rsidRPr="002015B0">
        <w:rPr>
          <w:rFonts w:ascii="Arial" w:hAnsi="Arial" w:cs="David"/>
          <w:rtl/>
        </w:rPr>
        <w:t>- חברה שאחריות בעלי המניות שלה אינה מוגבלת, ולפיכך לא תציין בסוף שמה את המלים "בערבון מוגבל" או "בע"מ".</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הרמת מסך</w:t>
      </w:r>
      <w:r w:rsidRPr="002015B0">
        <w:rPr>
          <w:rFonts w:ascii="Arial" w:hAnsi="Arial" w:cs="David"/>
          <w:rtl/>
        </w:rPr>
        <w:t xml:space="preserve">- כלי משפטי המאפשר בתנאים </w:t>
      </w:r>
      <w:proofErr w:type="spellStart"/>
      <w:r w:rsidRPr="002015B0">
        <w:rPr>
          <w:rFonts w:ascii="Arial" w:hAnsi="Arial" w:cs="David"/>
          <w:rtl/>
        </w:rPr>
        <w:t>מסויימים</w:t>
      </w:r>
      <w:proofErr w:type="spellEnd"/>
      <w:r w:rsidRPr="002015B0">
        <w:rPr>
          <w:rFonts w:ascii="Arial" w:hAnsi="Arial" w:cs="David"/>
          <w:rtl/>
        </w:rPr>
        <w:t xml:space="preserve"> לייחס את החובות של החברה לבעלי המניות שלה או לנושאי תפקידים בה המזוהים עמה (האורגנים של החברה). באמצעות כלי זה ניתן לקבוע כי חוב, או נזק, או כל עוולה אחרת שקשורה לחברה, יתבע מהאורגנים.</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מימון דק</w:t>
      </w:r>
      <w:r w:rsidRPr="002015B0">
        <w:rPr>
          <w:rFonts w:ascii="Arial" w:hAnsi="Arial" w:cs="David"/>
          <w:rtl/>
        </w:rPr>
        <w:t>- מצב שבו ההון העצמי של החברה איננו עומד ביחס סביר לסיכונים שהיא נוטלת, או שאינו עומד ביחס סביר להלוואות שנטלה מצדדים שלישיים (מינוף גבוה).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תקנון החברה</w:t>
      </w:r>
      <w:r w:rsidRPr="002015B0">
        <w:rPr>
          <w:rFonts w:ascii="Arial" w:hAnsi="Arial" w:cs="David"/>
          <w:rtl/>
        </w:rPr>
        <w:t>- המסמך המרכזי המסדיר את מערכת היחסים שבין בעלי המניות לבין עצמם, ושבין החברה לבין בעלי המניות שלה. דין התקנון כדין חוזה.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דיבידנד</w:t>
      </w:r>
      <w:r w:rsidRPr="002015B0">
        <w:rPr>
          <w:rFonts w:ascii="Arial" w:hAnsi="Arial" w:cs="David"/>
          <w:rtl/>
        </w:rPr>
        <w:t>- רווחי החברה המחולקים לבעלי מניותיה בהתאם לגובה חלקם בהון המניות וכנקבע בתקנון החברה.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אסיפה כללית (אסיפה כללית של בעלי המניות)</w:t>
      </w:r>
      <w:r w:rsidRPr="002015B0">
        <w:rPr>
          <w:rFonts w:ascii="Arial" w:hAnsi="Arial" w:cs="David"/>
          <w:rtl/>
        </w:rPr>
        <w:t>- אסיפה שנתית רגילה של בעלי המניות של החברה המתכנסת אחת לשנה לדיון בדוחות הכספיים, בדוחות הדירקטוריון, בדו"ח הרואה חשבון, בבחירת בדירקטורים וקביעת שכרם, וכן בנושאים נוספים שנקבעו בתקנון שיידונו באסיפה הכללית; או אסיפה שלא מן המניין (כל אסיפה שהיא איננה אסיפה שנתית רגילה היא אסיפה שלא מן המניין).</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דירקטוריון</w:t>
      </w:r>
      <w:r w:rsidRPr="002015B0">
        <w:rPr>
          <w:rFonts w:ascii="Arial" w:hAnsi="Arial" w:cs="David"/>
          <w:rtl/>
        </w:rPr>
        <w:t xml:space="preserve">- אורגן של החברה הממונה על-ידי בעלי המניות בחברה. תפקידו הוא לגבש את האסטרטגיה והמדיניות של החברה ולפקח על פעולותיו וביצועיו של מנכ"ל החברה.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מנהל כללי (מנכ"ל)</w:t>
      </w:r>
      <w:r w:rsidRPr="002015B0">
        <w:rPr>
          <w:rFonts w:ascii="Arial" w:hAnsi="Arial" w:cs="David"/>
          <w:rtl/>
        </w:rPr>
        <w:t>- האחראי על הניהול השוטף של עניני החברה במסגרת המדיניות שקבע הדירקטוריון ובכפוף להנחיותיו.</w:t>
      </w:r>
    </w:p>
    <w:p w:rsidR="0045569A" w:rsidRPr="002015B0" w:rsidRDefault="0045569A" w:rsidP="002015B0">
      <w:pPr>
        <w:spacing w:after="0" w:line="240" w:lineRule="auto"/>
        <w:rPr>
          <w:rFonts w:cs="David" w:hint="cs"/>
          <w:b/>
          <w:bCs/>
          <w:sz w:val="24"/>
          <w:szCs w:val="24"/>
          <w:rtl/>
        </w:rPr>
      </w:pPr>
    </w:p>
    <w:p w:rsidR="008A6A56" w:rsidRPr="002015B0" w:rsidRDefault="008A6A5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בשיעור זה דנו בדיני התאגידים של מדינת ישראל, תוך התמקדות בדיני החברות.</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lastRenderedPageBreak/>
        <w:t xml:space="preserve">את השיעור התחלנו בהבנת החשיבות שהמשפט מייחס לזכות ההתאגדות וההכרה בה כזכות יסוד חוקתית במדינה הדמוקרטית.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לאחר מכן, כחלק מהדיון על דיני התאגידים, עמדנו על הגדרת המושג "תאגיד" (אישיות משפטית עצמאית מלאכותית בעלת כשרות כללית, הנושאת בזכויות ובחובות משלה) וראינו כי למעשה התאגיד הוא "המצאה" של המשפט כדי לאפשר לקבוצת אנשים לעשות פעולות משפטיות שונות בצורה משותפת ותחת שם אחד.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נקודה חשובה ומהותית להבנה שלנו את דיני התאגידים נעוצה בהכרת שני מושגי יסוד בתורת התאגידים: </w:t>
      </w:r>
      <w:r w:rsidRPr="002015B0">
        <w:rPr>
          <w:rFonts w:ascii="Arial" w:hAnsi="Arial" w:cs="David"/>
          <w:b/>
          <w:bCs/>
          <w:rtl/>
        </w:rPr>
        <w:t xml:space="preserve">האישיות המשפטית </w:t>
      </w:r>
      <w:r w:rsidRPr="002015B0">
        <w:rPr>
          <w:rFonts w:ascii="Arial" w:hAnsi="Arial" w:cs="David"/>
          <w:rtl/>
        </w:rPr>
        <w:t xml:space="preserve">(אשר נובעת מהכרת השיטה המשפטית בתופעה פלונית כבעלת זכויות וחובות); </w:t>
      </w:r>
      <w:r w:rsidRPr="002015B0">
        <w:rPr>
          <w:rFonts w:ascii="Arial" w:hAnsi="Arial" w:cs="David"/>
          <w:b/>
          <w:bCs/>
          <w:rtl/>
        </w:rPr>
        <w:t>והכשרות המשפטית</w:t>
      </w:r>
      <w:r w:rsidRPr="002015B0">
        <w:rPr>
          <w:rFonts w:ascii="Arial" w:hAnsi="Arial" w:cs="David"/>
          <w:rtl/>
        </w:rPr>
        <w:t xml:space="preserve"> (אשר מגדירה את היקף סמכותה של האישיות המשפטית לבצע פעולות משפטיות שונות).</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ראינו כי את הזינוק הגדול של המשפט בתחום דיני התאגידים בכלל ודיני החוזים בפרט ניתן לייחס לפסק-הדין האנגלי משנת 1897 בעניין </w:t>
      </w:r>
      <w:r w:rsidRPr="002015B0">
        <w:rPr>
          <w:rFonts w:ascii="Arial" w:hAnsi="Arial" w:cs="David"/>
          <w:b/>
          <w:bCs/>
        </w:rPr>
        <w:t>Salomon v. Salomon &amp; Co.</w:t>
      </w:r>
      <w:r w:rsidRPr="002015B0">
        <w:rPr>
          <w:rFonts w:ascii="Arial" w:hAnsi="Arial" w:cs="David"/>
          <w:rtl/>
        </w:rPr>
        <w:t>, שם קבע בית הלורדים כי אם התקיימו דרישות החוק לשם ייסודה של החברה, כי אז צריך</w:t>
      </w:r>
      <w:bookmarkStart w:id="0" w:name="_GoBack"/>
      <w:bookmarkEnd w:id="0"/>
      <w:r w:rsidRPr="002015B0">
        <w:rPr>
          <w:rFonts w:ascii="Arial" w:hAnsi="Arial" w:cs="David"/>
          <w:rtl/>
        </w:rPr>
        <w:t xml:space="preserve"> לכבד את החוק ולהכיר </w:t>
      </w:r>
      <w:r w:rsidRPr="002015B0">
        <w:rPr>
          <w:rFonts w:ascii="Arial" w:hAnsi="Arial" w:cs="David"/>
          <w:b/>
          <w:bCs/>
          <w:rtl/>
        </w:rPr>
        <w:t>באישיות המשפטית הנפרדת</w:t>
      </w:r>
      <w:r w:rsidRPr="002015B0">
        <w:rPr>
          <w:rFonts w:ascii="Arial" w:hAnsi="Arial" w:cs="David"/>
          <w:rtl/>
        </w:rPr>
        <w:t xml:space="preserve"> של החברה. כלומר, כי לאותה התאגדות יכולות להיות זכויות וחובות משל עצמה, כאשר לאותם פרטים יחידים שהקימו את התאגיד אין חובות לגבי חובות התאגיד (האישיות המשפטית היא נפרדת, שהרי חובות התאגיד נפרדים מהחובות של היחידים שמרכיבים אותו).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עוד ראינו כי המונח המשפטי "תאגיד" הוא השם הכללי המתאר את כלל סוגי ההתאגדויות השונות (חברה, עמותה, אגודה שיתופית וכו'), כאשר המחוקק קבע סוגים שונים של התאגדויות, </w:t>
      </w:r>
      <w:proofErr w:type="spellStart"/>
      <w:r w:rsidRPr="002015B0">
        <w:rPr>
          <w:rFonts w:ascii="Arial" w:hAnsi="Arial" w:cs="David"/>
          <w:rtl/>
        </w:rPr>
        <w:t>ול"ציבור</w:t>
      </w:r>
      <w:proofErr w:type="spellEnd"/>
      <w:r w:rsidRPr="002015B0">
        <w:rPr>
          <w:rFonts w:ascii="Arial" w:hAnsi="Arial" w:cs="David"/>
          <w:rtl/>
        </w:rPr>
        <w:t xml:space="preserve"> הצרכנים" של ההתאגדויות (אזרחי ותושבי המדינה) יש את האפשרות לבחור מבין אותם סוגי התאגדויות את צורת ההתאגדות הרצויה להם על-פי שיקול דעתם ובהתאם לשאלה המרכזית שעליהם לשאול את עצמם - מהי המטרה שלשמה מבוקשת ההתאגדות?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כנושא מסכם לדיני התאגידים עמדנו גם על המונח "תורת האורגנים", לפיו - כאשר אנו עומדים בפני חיוב וכאשר נשוא החיוב הוא אישיות מלאכותית, הרי שבמצבים מסוימים אנו יכולים לייחס את המחשבה והמעשים של אורגן </w:t>
      </w:r>
      <w:proofErr w:type="spellStart"/>
      <w:r w:rsidRPr="002015B0">
        <w:rPr>
          <w:rFonts w:ascii="Arial" w:hAnsi="Arial" w:cs="David"/>
          <w:rtl/>
        </w:rPr>
        <w:t>מסויים</w:t>
      </w:r>
      <w:proofErr w:type="spellEnd"/>
      <w:r w:rsidRPr="002015B0">
        <w:rPr>
          <w:rFonts w:ascii="Arial" w:hAnsi="Arial" w:cs="David"/>
          <w:rtl/>
        </w:rPr>
        <w:t xml:space="preserve"> בתאגיד לתאגיד עצמו, ואז באותן נסיבות עובדתיות ניתן להטיל על התאגיד חבות בשל המחשבה והמעשים של האורגן.</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בתום הדיון על דיני התאגידים בכלל, נגענו במושגים שונים מתחום מדיני החברות [תחום ספציפי של דיני התאגידים, זאת כאשר מדובר במבנה תאגידי מסוג חברה (</w:t>
      </w:r>
      <w:r w:rsidRPr="002015B0">
        <w:rPr>
          <w:rFonts w:ascii="Arial" w:hAnsi="Arial" w:cs="David"/>
        </w:rPr>
        <w:t>Company</w:t>
      </w:r>
      <w:r w:rsidRPr="002015B0">
        <w:rPr>
          <w:rFonts w:ascii="Arial" w:hAnsi="Arial" w:cs="David"/>
          <w:rtl/>
        </w:rPr>
        <w:t xml:space="preserve">)].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בעניין זה ראינו כי בהתאם לחוק החברות הישראלי, כל אדם (ואפילו אם מדובר באדם אחד בלבד) רשאי לייסד חברה, אלא אם כן אחת ממטרותיה נוגדת אל החוק, היא בלתי מוסרית או נוגדת את תקנת הציבור.</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עוד ראינו כי חברה יכולה להיות </w:t>
      </w:r>
      <w:r w:rsidRPr="002015B0">
        <w:rPr>
          <w:rFonts w:ascii="Arial" w:hAnsi="Arial" w:cs="David"/>
          <w:b/>
          <w:bCs/>
          <w:rtl/>
        </w:rPr>
        <w:t>חברה ציבורית</w:t>
      </w:r>
      <w:r w:rsidRPr="002015B0">
        <w:rPr>
          <w:rFonts w:ascii="Arial" w:hAnsi="Arial" w:cs="David"/>
          <w:rtl/>
        </w:rPr>
        <w:t xml:space="preserve"> (שזוהי חברה שמניותיה רשומות בבורסה או הוצעו לציבור על פי תשקיף כמשמעותו בחוק ניירות ערך ושמניותיה מוחזקות בידי הציבור), שאחרת היא תוגדר בהכרח </w:t>
      </w:r>
      <w:r w:rsidRPr="002015B0">
        <w:rPr>
          <w:rFonts w:ascii="Arial" w:hAnsi="Arial" w:cs="David"/>
          <w:b/>
          <w:bCs/>
          <w:rtl/>
        </w:rPr>
        <w:t>כחברה פרטית</w:t>
      </w:r>
      <w:r w:rsidRPr="002015B0">
        <w:rPr>
          <w:rFonts w:ascii="Arial" w:hAnsi="Arial" w:cs="David"/>
          <w:rtl/>
        </w:rPr>
        <w:t xml:space="preserve"> (כל חברה שאיננה חברה ציבורית היא חברה פרטית).</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ראינו כי חברה יכולה להיות מסווגת </w:t>
      </w:r>
      <w:r w:rsidRPr="002015B0">
        <w:rPr>
          <w:rFonts w:ascii="Arial" w:hAnsi="Arial" w:cs="David"/>
          <w:b/>
          <w:bCs/>
          <w:rtl/>
        </w:rPr>
        <w:t>כחברה מוגבלת באחריות</w:t>
      </w:r>
      <w:r w:rsidRPr="002015B0">
        <w:rPr>
          <w:rFonts w:ascii="Arial" w:hAnsi="Arial" w:cs="David"/>
          <w:rtl/>
        </w:rPr>
        <w:t xml:space="preserve">, שאז אחריות בעלי המניות שלה מוגבלת באופן המפורט בתקנון החברה (חברה בע"מ), או </w:t>
      </w:r>
      <w:r w:rsidRPr="002015B0">
        <w:rPr>
          <w:rFonts w:ascii="Arial" w:hAnsi="Arial" w:cs="David"/>
          <w:b/>
          <w:bCs/>
          <w:rtl/>
        </w:rPr>
        <w:t>כחברה שאינה מוגבלת באחריות</w:t>
      </w:r>
      <w:r w:rsidRPr="002015B0">
        <w:rPr>
          <w:rFonts w:ascii="Arial" w:hAnsi="Arial" w:cs="David"/>
          <w:rtl/>
        </w:rPr>
        <w:t>, שאז כמובן אחריות בעלי המניות שלה אינה מוגבלת, ולפיכך גם לא תציין בסוף שמה "בע"מ".</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אחד מהנושאים המרתקים ביותר בתחום דיני החברות הוא דוקטרינת "</w:t>
      </w:r>
      <w:r w:rsidRPr="002015B0">
        <w:rPr>
          <w:rFonts w:ascii="Arial" w:hAnsi="Arial" w:cs="David"/>
          <w:b/>
          <w:bCs/>
          <w:rtl/>
        </w:rPr>
        <w:t>הרמת המסך</w:t>
      </w:r>
      <w:r w:rsidRPr="002015B0">
        <w:rPr>
          <w:rFonts w:ascii="Arial" w:hAnsi="Arial" w:cs="David"/>
          <w:rtl/>
        </w:rPr>
        <w:t xml:space="preserve">" באמצעותה ניתן לייחס את החובות של החברה לבעלי המניות שלה או לנושאי תפקידים בה המזוהים עמה (אורגנים בחברה), זאת כאשר השימוש באישיות המשפטית הנפרדת של החברה נעשה באופן שיש בו כדי להונות אדם או לקפח נושה של החברה, או באופן הפוגע בתכלית החברה ותוך נטילת סיכון בלתי סביר באשר ליכולתה לפרוע את חובותיה. כן ראינו כי המקור החוקי להרמת המסך מצוי בסעיף 6 לחוק החברות. כאשר השימוש במנגנון זה הוא פעולה חריגה המשבשת לכאורה את עיקרון האישיות המשפטית הנפרדת של החברה ועל-כן בתי המשפט לא ימהרו להורות על הרמת מסך, אלא בהתקיים נסיבות מיוחדות וחריגות (אשר על מקצתן עמדנו במהלך השיעור).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לקראת סיום השיעור למדנו כי כל חברה </w:t>
      </w:r>
      <w:proofErr w:type="spellStart"/>
      <w:r w:rsidRPr="002015B0">
        <w:rPr>
          <w:rFonts w:ascii="Arial" w:hAnsi="Arial" w:cs="David"/>
          <w:rtl/>
        </w:rPr>
        <w:t>מחוייבת</w:t>
      </w:r>
      <w:proofErr w:type="spellEnd"/>
      <w:r w:rsidRPr="002015B0">
        <w:rPr>
          <w:rFonts w:ascii="Arial" w:hAnsi="Arial" w:cs="David"/>
          <w:rtl/>
        </w:rPr>
        <w:t xml:space="preserve"> </w:t>
      </w:r>
      <w:r w:rsidRPr="002015B0">
        <w:rPr>
          <w:rFonts w:ascii="Arial" w:hAnsi="Arial" w:cs="David"/>
          <w:b/>
          <w:bCs/>
          <w:rtl/>
        </w:rPr>
        <w:t>בתקנון</w:t>
      </w:r>
      <w:r w:rsidRPr="002015B0">
        <w:rPr>
          <w:rFonts w:ascii="Arial" w:hAnsi="Arial" w:cs="David"/>
          <w:rtl/>
        </w:rPr>
        <w:t xml:space="preserve"> אשר מהווה "מעין חוזה" המסדיר את מערכת היחסים בחברה בשני מישורים (בין בעלי המניות לבין עצמם ובין החברה לבין בעלי המניות שלה), ואשר כתוצאה מהגדרתו כמעין חוזה - יחולו עליו הוראות חוק החוזים (חלק כללי), התשל"ג-1973 וכן הוראות חוק החוזים (תרופות בשל הפרת חוזה), התשל"א-1970.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כן עמדנו על זכויותיו השונות של בעל </w:t>
      </w:r>
      <w:r w:rsidRPr="002015B0">
        <w:rPr>
          <w:rFonts w:ascii="Arial" w:hAnsi="Arial" w:cs="David"/>
          <w:b/>
          <w:bCs/>
          <w:rtl/>
        </w:rPr>
        <w:t>המניה</w:t>
      </w:r>
      <w:r w:rsidRPr="002015B0">
        <w:rPr>
          <w:rFonts w:ascii="Arial" w:hAnsi="Arial" w:cs="David"/>
          <w:rtl/>
        </w:rPr>
        <w:t xml:space="preserve"> בחברה (כגון - הזכות למידע על החברה, הזכות להצביע באסיפת בעלי המניות, הזכות לקבלת דיבידנד ועוד) ולבסוף הכרנו את שלושת האורגנים בחברה: </w:t>
      </w:r>
      <w:r w:rsidRPr="002015B0">
        <w:rPr>
          <w:rFonts w:ascii="Arial" w:hAnsi="Arial" w:cs="David"/>
          <w:b/>
          <w:bCs/>
          <w:rtl/>
        </w:rPr>
        <w:t>אסיפה כללית</w:t>
      </w:r>
      <w:r w:rsidRPr="002015B0">
        <w:rPr>
          <w:rFonts w:ascii="Arial" w:hAnsi="Arial" w:cs="David"/>
          <w:rtl/>
        </w:rPr>
        <w:t xml:space="preserve">, </w:t>
      </w:r>
      <w:r w:rsidRPr="002015B0">
        <w:rPr>
          <w:rFonts w:ascii="Arial" w:hAnsi="Arial" w:cs="David"/>
          <w:b/>
          <w:bCs/>
          <w:rtl/>
        </w:rPr>
        <w:t>דירקטוריון</w:t>
      </w:r>
      <w:r w:rsidRPr="002015B0">
        <w:rPr>
          <w:rFonts w:ascii="Arial" w:hAnsi="Arial" w:cs="David"/>
          <w:rtl/>
        </w:rPr>
        <w:t xml:space="preserve"> </w:t>
      </w:r>
      <w:r w:rsidRPr="002015B0">
        <w:rPr>
          <w:rFonts w:ascii="Arial" w:hAnsi="Arial" w:cs="David"/>
          <w:b/>
          <w:bCs/>
          <w:rtl/>
        </w:rPr>
        <w:t>ומנכ"ל</w:t>
      </w:r>
      <w:r w:rsidRPr="002015B0">
        <w:rPr>
          <w:rFonts w:ascii="Arial" w:hAnsi="Arial" w:cs="David"/>
          <w:rtl/>
        </w:rPr>
        <w:t>, תוך שאנו עומדים על סמכויותיו, תחומי אחריותו ותפקידיו של כל אחד ואחד מאורגנים אלו.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בכך למעשה סיימנו את דיון המבוא על דיני התאגידים ודיני החברות בישראל.</w:t>
      </w:r>
    </w:p>
    <w:p w:rsidR="0045569A" w:rsidRPr="002015B0" w:rsidRDefault="0045569A" w:rsidP="002015B0">
      <w:pPr>
        <w:spacing w:after="0" w:line="240" w:lineRule="auto"/>
        <w:rPr>
          <w:rFonts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B20AF3" w:rsidRDefault="00B20AF3" w:rsidP="002015B0">
      <w:pPr>
        <w:spacing w:after="0" w:line="240" w:lineRule="auto"/>
        <w:jc w:val="center"/>
        <w:rPr>
          <w:rFonts w:ascii="Arial" w:eastAsia="Times New Roman" w:hAnsi="Arial" w:cs="David" w:hint="cs"/>
          <w:b/>
          <w:bCs/>
          <w:sz w:val="24"/>
          <w:szCs w:val="24"/>
          <w:u w:val="single"/>
          <w:rtl/>
        </w:rPr>
      </w:pPr>
    </w:p>
    <w:p w:rsidR="00AF6498" w:rsidRDefault="00AF6498" w:rsidP="002015B0">
      <w:pPr>
        <w:spacing w:after="0" w:line="240" w:lineRule="auto"/>
        <w:jc w:val="center"/>
        <w:rPr>
          <w:rFonts w:ascii="Arial" w:eastAsia="Times New Roman" w:hAnsi="Arial" w:cs="David" w:hint="cs"/>
          <w:b/>
          <w:bCs/>
          <w:sz w:val="24"/>
          <w:szCs w:val="24"/>
          <w:u w:val="single"/>
          <w:rtl/>
        </w:rPr>
      </w:pPr>
    </w:p>
    <w:p w:rsidR="00E83F26" w:rsidRPr="002015B0" w:rsidRDefault="00E83F26" w:rsidP="002015B0">
      <w:pPr>
        <w:spacing w:after="0" w:line="240" w:lineRule="auto"/>
        <w:jc w:val="center"/>
        <w:rPr>
          <w:rFonts w:cs="David" w:hint="cs"/>
          <w:b/>
          <w:bCs/>
          <w:sz w:val="24"/>
          <w:szCs w:val="24"/>
          <w:u w:val="single"/>
          <w:rtl/>
        </w:rPr>
      </w:pPr>
      <w:r w:rsidRPr="002015B0">
        <w:rPr>
          <w:rFonts w:ascii="Arial" w:eastAsia="Times New Roman" w:hAnsi="Arial" w:cs="David" w:hint="cs"/>
          <w:b/>
          <w:bCs/>
          <w:sz w:val="24"/>
          <w:szCs w:val="24"/>
          <w:u w:val="single"/>
          <w:rtl/>
        </w:rPr>
        <w:lastRenderedPageBreak/>
        <w:t>שיעור 1</w:t>
      </w:r>
      <w:r w:rsidRPr="002015B0">
        <w:rPr>
          <w:rFonts w:ascii="Arial" w:eastAsia="Times New Roman" w:hAnsi="Arial" w:cs="David" w:hint="cs"/>
          <w:b/>
          <w:bCs/>
          <w:sz w:val="24"/>
          <w:szCs w:val="24"/>
          <w:u w:val="single"/>
          <w:rtl/>
        </w:rPr>
        <w:t>2</w:t>
      </w:r>
      <w:r w:rsidRPr="002015B0">
        <w:rPr>
          <w:rFonts w:ascii="Arial" w:eastAsia="Times New Roman" w:hAnsi="Arial" w:cs="David" w:hint="cs"/>
          <w:b/>
          <w:bCs/>
          <w:sz w:val="24"/>
          <w:szCs w:val="24"/>
          <w:u w:val="single"/>
          <w:rtl/>
        </w:rPr>
        <w:t xml:space="preserve">: </w:t>
      </w:r>
      <w:r w:rsidRPr="002015B0">
        <w:rPr>
          <w:rFonts w:ascii="Arial" w:eastAsia="Times New Roman" w:hAnsi="Arial" w:cs="David" w:hint="cs"/>
          <w:b/>
          <w:bCs/>
          <w:sz w:val="24"/>
          <w:szCs w:val="24"/>
          <w:u w:val="single"/>
          <w:rtl/>
        </w:rPr>
        <w:t>מבוא לדיני נזיקין</w:t>
      </w:r>
    </w:p>
    <w:p w:rsidR="00B20AF3" w:rsidRDefault="00B20AF3" w:rsidP="002015B0">
      <w:pPr>
        <w:spacing w:after="0" w:line="240" w:lineRule="auto"/>
        <w:rPr>
          <w:rFonts w:cs="David" w:hint="cs"/>
          <w:b/>
          <w:bCs/>
          <w:sz w:val="24"/>
          <w:szCs w:val="24"/>
          <w:u w:val="single"/>
          <w:rtl/>
        </w:rPr>
      </w:pPr>
    </w:p>
    <w:p w:rsidR="00E83F26" w:rsidRPr="002015B0" w:rsidRDefault="00E83F26" w:rsidP="002015B0">
      <w:pPr>
        <w:spacing w:after="0" w:line="240" w:lineRule="auto"/>
        <w:rPr>
          <w:rFonts w:cs="David" w:hint="cs"/>
          <w:b/>
          <w:bCs/>
          <w:sz w:val="24"/>
          <w:szCs w:val="24"/>
          <w:rtl/>
        </w:rPr>
      </w:pPr>
      <w:r w:rsidRPr="002015B0">
        <w:rPr>
          <w:rFonts w:cs="David" w:hint="cs"/>
          <w:b/>
          <w:bCs/>
          <w:sz w:val="24"/>
          <w:szCs w:val="24"/>
          <w:u w:val="single"/>
          <w:rtl/>
        </w:rPr>
        <w:t>מושגים הכרחיים</w:t>
      </w:r>
      <w:r w:rsidRPr="002015B0">
        <w:rPr>
          <w:rFonts w:cs="David" w:hint="cs"/>
          <w:b/>
          <w:bCs/>
          <w:sz w:val="24"/>
          <w:szCs w:val="24"/>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דיני נזיקין</w:t>
      </w:r>
      <w:r w:rsidRPr="002015B0">
        <w:rPr>
          <w:rFonts w:ascii="Arial" w:hAnsi="Arial" w:cs="David"/>
          <w:rtl/>
        </w:rPr>
        <w:t>- התחום המשפטי שעוסק בסיטואציות בהן נגרם נזק על-ידי גורם כלשהו, ואשר כתוצאה ממעשיו או מחדליו (עוולה) ניתן להטיל עליו חבות במשפט בגין הנזק שגרם.</w:t>
      </w:r>
    </w:p>
    <w:p w:rsidR="0045569A" w:rsidRPr="002015B0" w:rsidRDefault="00B20AF3" w:rsidP="00B20AF3">
      <w:pPr>
        <w:pStyle w:val="NormalWeb"/>
        <w:bidi/>
        <w:spacing w:beforeAutospacing="0" w:after="0" w:afterAutospacing="0"/>
        <w:ind w:right="113"/>
        <w:jc w:val="both"/>
        <w:rPr>
          <w:rFonts w:ascii="Arial" w:hAnsi="Arial" w:cs="David"/>
          <w:rtl/>
        </w:rPr>
      </w:pPr>
      <w:r>
        <w:rPr>
          <w:rFonts w:ascii="Arial" w:hAnsi="Arial" w:cs="David"/>
          <w:b/>
          <w:bCs/>
          <w:rtl/>
        </w:rPr>
        <w:t>עוולה</w:t>
      </w:r>
      <w:r w:rsidR="0045569A" w:rsidRPr="002015B0">
        <w:rPr>
          <w:rFonts w:ascii="Arial" w:hAnsi="Arial" w:cs="David"/>
          <w:rtl/>
        </w:rPr>
        <w:t xml:space="preserve">- ההתנהגות האסורה על-פי דיני </w:t>
      </w:r>
      <w:proofErr w:type="spellStart"/>
      <w:r w:rsidR="0045569A" w:rsidRPr="002015B0">
        <w:rPr>
          <w:rFonts w:ascii="Arial" w:hAnsi="Arial" w:cs="David"/>
          <w:rtl/>
        </w:rPr>
        <w:t>הנזיקין</w:t>
      </w:r>
      <w:proofErr w:type="spellEnd"/>
      <w:r w:rsidR="0045569A" w:rsidRPr="002015B0">
        <w:rPr>
          <w:rFonts w:ascii="Arial" w:hAnsi="Arial" w:cs="David"/>
          <w:rtl/>
        </w:rPr>
        <w:t xml:space="preserve"> (להבדיל מהתנהגות אסורה על-פי הדין הפלילי הנקראת "עבירה").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אחריות מוחלטת</w:t>
      </w:r>
      <w:r w:rsidRPr="002015B0">
        <w:rPr>
          <w:rFonts w:ascii="Arial" w:hAnsi="Arial" w:cs="David"/>
          <w:rtl/>
        </w:rPr>
        <w:t>- אחריות שמוטלת על המזיק ללא אשם וללא מתן אפשרות לטעון טענות הגנה.</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אחריות חמורה</w:t>
      </w:r>
      <w:r w:rsidRPr="002015B0">
        <w:rPr>
          <w:rFonts w:ascii="Arial" w:hAnsi="Arial" w:cs="David"/>
          <w:rtl/>
        </w:rPr>
        <w:t xml:space="preserve">- אחריות שמוטלת על המזיק ללא אשם, אך במקרים </w:t>
      </w:r>
      <w:proofErr w:type="spellStart"/>
      <w:r w:rsidRPr="002015B0">
        <w:rPr>
          <w:rFonts w:ascii="Arial" w:hAnsi="Arial" w:cs="David"/>
          <w:rtl/>
        </w:rPr>
        <w:t>מסויימים</w:t>
      </w:r>
      <w:proofErr w:type="spellEnd"/>
      <w:r w:rsidRPr="002015B0">
        <w:rPr>
          <w:rFonts w:ascii="Arial" w:hAnsi="Arial" w:cs="David"/>
          <w:rtl/>
        </w:rPr>
        <w:t xml:space="preserve"> יהיו למזיק הגנות כנגד קביעת אשמתו.</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אחריות מוגברת</w:t>
      </w:r>
      <w:r w:rsidRPr="002015B0">
        <w:rPr>
          <w:rFonts w:ascii="Arial" w:hAnsi="Arial" w:cs="David"/>
          <w:rtl/>
        </w:rPr>
        <w:t>- אחריות הדורשת יסוד של אשמה, אך הנטל הוא על המזיק להוכיח כי לא התרשל.</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אחריות רגילה</w:t>
      </w:r>
      <w:r w:rsidRPr="002015B0">
        <w:rPr>
          <w:rFonts w:ascii="Arial" w:hAnsi="Arial" w:cs="David"/>
          <w:rtl/>
        </w:rPr>
        <w:t>- אחריות הדורשת יסוד של אשמה, כאשר הנטל על הניזוק להוכיח את אשמתו של המזיק.</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 xml:space="preserve">אחריות </w:t>
      </w:r>
      <w:proofErr w:type="spellStart"/>
      <w:r w:rsidRPr="002015B0">
        <w:rPr>
          <w:rFonts w:ascii="Arial" w:hAnsi="Arial" w:cs="David"/>
          <w:b/>
          <w:bCs/>
          <w:rtl/>
        </w:rPr>
        <w:t>שילוחית</w:t>
      </w:r>
      <w:proofErr w:type="spellEnd"/>
      <w:r w:rsidRPr="002015B0">
        <w:rPr>
          <w:rFonts w:ascii="Arial" w:hAnsi="Arial" w:cs="David"/>
          <w:rtl/>
        </w:rPr>
        <w:t>- אחריות שמוטלת על אדם בשל מעשיו/מחדליו של אדם אחר שיש זיקה ביניהם.</w:t>
      </w:r>
      <w:r w:rsidRPr="002015B0">
        <w:rPr>
          <w:rFonts w:ascii="Arial" w:hAnsi="Arial" w:cs="David"/>
        </w:rPr>
        <w:t xml:space="preserve">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עוולות פרטיקולאריות</w:t>
      </w:r>
      <w:r w:rsidRPr="002015B0">
        <w:rPr>
          <w:rFonts w:ascii="Arial" w:hAnsi="Arial" w:cs="David"/>
          <w:rtl/>
        </w:rPr>
        <w:t>- עוולות ספציפיות הנתונות למערכת עובדתית קבועה, ברורה וחד-משמעית (כגון - עוולת התקיפה).</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עוולות מסגרת</w:t>
      </w:r>
      <w:r w:rsidRPr="002015B0">
        <w:rPr>
          <w:rFonts w:ascii="Arial" w:hAnsi="Arial" w:cs="David"/>
          <w:rtl/>
        </w:rPr>
        <w:t>- עוולות המתוות קווים כלליים להתנהגויות אסורות (כגון - עוולת הרשלנות).</w:t>
      </w:r>
      <w:r w:rsidRPr="002015B0">
        <w:rPr>
          <w:rFonts w:ascii="Arial" w:hAnsi="Arial" w:cs="David"/>
        </w:rPr>
        <w:t xml:space="preserve">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רשלנות</w:t>
      </w:r>
      <w:r w:rsidRPr="002015B0">
        <w:rPr>
          <w:rFonts w:ascii="Arial" w:hAnsi="Arial" w:cs="David"/>
          <w:rtl/>
        </w:rPr>
        <w:t>- סטייה מסטנדרט התנהגות סביר ומקובל בחברה אשר גרמה לנזק לאדם אחר. הרשלנות יכולה להיות במעשה או במחדל.</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חובת זהירות</w:t>
      </w:r>
      <w:r w:rsidRPr="002015B0">
        <w:rPr>
          <w:rFonts w:ascii="Arial" w:hAnsi="Arial" w:cs="David"/>
          <w:rtl/>
        </w:rPr>
        <w:t xml:space="preserve">- מונח משפטי המתאר מחויבות של אדם אחד כלפי אדם אחר. המקור ההיסטורי לחובת הזהירות נמצא בפסק-הדין </w:t>
      </w:r>
      <w:r w:rsidRPr="002015B0">
        <w:rPr>
          <w:rFonts w:ascii="Arial" w:hAnsi="Arial" w:cs="David"/>
        </w:rPr>
        <w:t xml:space="preserve">Donoghue Vs. </w:t>
      </w:r>
      <w:proofErr w:type="gramStart"/>
      <w:r w:rsidRPr="002015B0">
        <w:rPr>
          <w:rFonts w:ascii="Arial" w:hAnsi="Arial" w:cs="David"/>
        </w:rPr>
        <w:t>Stevenson</w:t>
      </w:r>
      <w:r w:rsidRPr="002015B0">
        <w:rPr>
          <w:rFonts w:ascii="Arial" w:hAnsi="Arial" w:cs="David"/>
          <w:rtl/>
        </w:rPr>
        <w:t xml:space="preserve"> </w:t>
      </w:r>
      <w:r w:rsidRPr="002015B0">
        <w:rPr>
          <w:rFonts w:ascii="Arial" w:hAnsi="Arial" w:cs="David" w:hint="cs"/>
          <w:rtl/>
        </w:rPr>
        <w:t>הבריטי, שם נקבע הכלל הרחב לפיו יש לאדם חובת זהירות כלפי מי שקרוב אליו (עקרון "השכנות").</w:t>
      </w:r>
      <w:proofErr w:type="gramEnd"/>
    </w:p>
    <w:p w:rsidR="0045569A" w:rsidRPr="002015B0" w:rsidRDefault="0045569A" w:rsidP="00B20AF3">
      <w:pPr>
        <w:pStyle w:val="NormalWeb"/>
        <w:bidi/>
        <w:spacing w:beforeAutospacing="0" w:after="0" w:afterAutospacing="0"/>
        <w:ind w:right="113"/>
        <w:jc w:val="both"/>
        <w:rPr>
          <w:rFonts w:ascii="Arial" w:hAnsi="Arial" w:cs="David" w:hint="cs"/>
          <w:rtl/>
        </w:rPr>
      </w:pPr>
      <w:r w:rsidRPr="002015B0">
        <w:rPr>
          <w:rFonts w:ascii="Arial" w:hAnsi="Arial" w:cs="David"/>
          <w:b/>
          <w:bCs/>
          <w:rtl/>
        </w:rPr>
        <w:t>חובת זהירות מושגית</w:t>
      </w:r>
      <w:r w:rsidRPr="002015B0">
        <w:rPr>
          <w:rFonts w:ascii="Arial" w:hAnsi="Arial" w:cs="David"/>
          <w:rtl/>
        </w:rPr>
        <w:t>- הרכיב הראשון בתוך חובת הזהירות. בודק האם באופן כללי ועקרוני קיימת חובת זהירות בין סוג האנשים שהתובע שייך אליהם לבין סוג האנשים שהנתבע נמנה עמם, ביחס לסוג הנזק שבו מדובר ואופן התרחשותו.</w:t>
      </w:r>
    </w:p>
    <w:p w:rsidR="0045569A" w:rsidRPr="002015B0" w:rsidRDefault="0045569A" w:rsidP="00B20AF3">
      <w:pPr>
        <w:pStyle w:val="NormalWeb"/>
        <w:bidi/>
        <w:spacing w:beforeAutospacing="0" w:after="0" w:afterAutospacing="0"/>
        <w:ind w:right="113"/>
        <w:jc w:val="both"/>
        <w:rPr>
          <w:rFonts w:ascii="Arial" w:hAnsi="Arial" w:cs="David"/>
        </w:rPr>
      </w:pPr>
      <w:r w:rsidRPr="002015B0">
        <w:rPr>
          <w:rFonts w:ascii="Arial" w:hAnsi="Arial" w:cs="David"/>
          <w:b/>
          <w:bCs/>
          <w:rtl/>
        </w:rPr>
        <w:t>חובת זהירות קונקרטית</w:t>
      </w:r>
      <w:r w:rsidRPr="002015B0">
        <w:rPr>
          <w:rFonts w:ascii="Arial" w:hAnsi="Arial" w:cs="David"/>
          <w:rtl/>
        </w:rPr>
        <w:t>- הרכיב השני בתוך חובת הזהירות. בודק האם הנתבע הקונקרטי חב חובת זהירות כלפי התובע הקונקרטי ביחס לנזק הקונקרטי שאירע ובאופן הקונקרטי שבו אירע הנזק.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הפרת חובת הזהירות</w:t>
      </w:r>
      <w:r w:rsidRPr="002015B0">
        <w:rPr>
          <w:rFonts w:ascii="Arial" w:hAnsi="Arial" w:cs="David"/>
          <w:rtl/>
        </w:rPr>
        <w:t>- אי-עמידה במחויבות שיש לאדם אחד כלפי אדם אחר שקרוב אליו.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w:t>
      </w:r>
      <w:r w:rsidRPr="002015B0">
        <w:rPr>
          <w:rFonts w:ascii="Arial" w:hAnsi="Arial" w:cs="David"/>
          <w:rtl/>
        </w:rPr>
        <w:t>- הגורם המקשר בין הפרת חובת הזהירות לבין הנזק שנגרם. רכיב זה בודק האם הנזק נגרם בשל הפרת חובת הזהירות על-ידי המזיק ולא על-ידי גורמים אחרים.</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 עובדתי (מבחן הסיבה שבלעדיה אין)</w:t>
      </w:r>
      <w:r w:rsidRPr="002015B0">
        <w:rPr>
          <w:rFonts w:ascii="Arial" w:hAnsi="Arial" w:cs="David"/>
          <w:rtl/>
        </w:rPr>
        <w:t xml:space="preserve">- מבחן טכני אשר "מוציא" את התנהגותו של הנתבע מרצף האירועים ובודק האם למרות זאת היה הנזק נגרם. אם התשובה היא "כן", כי אז אין קשר סיבתי בין הפרת חובת הזהירות של הנתבע לבין הנזק שנגרם (שהרי הנזק היה נגרם ממילא וללא קשר להתנהגות הנתבע), אך אם התשובה היא "לא", כי אז יש קשר סיבתי בין הפרת חובת הזהירות לבין הנזק שנגרם.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קשר סיבתי משפטי</w:t>
      </w:r>
      <w:r w:rsidRPr="002015B0">
        <w:rPr>
          <w:rFonts w:ascii="Arial" w:hAnsi="Arial" w:cs="David"/>
          <w:rtl/>
        </w:rPr>
        <w:t xml:space="preserve">- מבחן הבודק האם הנזק שגרם </w:t>
      </w:r>
      <w:proofErr w:type="spellStart"/>
      <w:r w:rsidRPr="002015B0">
        <w:rPr>
          <w:rFonts w:ascii="Arial" w:hAnsi="Arial" w:cs="David"/>
          <w:rtl/>
        </w:rPr>
        <w:t>המעוול</w:t>
      </w:r>
      <w:proofErr w:type="spellEnd"/>
      <w:r w:rsidRPr="002015B0">
        <w:rPr>
          <w:rFonts w:ascii="Arial" w:hAnsi="Arial" w:cs="David"/>
          <w:rtl/>
        </w:rPr>
        <w:t xml:space="preserve"> היה בתחום הציפיה של </w:t>
      </w:r>
      <w:proofErr w:type="spellStart"/>
      <w:r w:rsidRPr="002015B0">
        <w:rPr>
          <w:rFonts w:ascii="Arial" w:hAnsi="Arial" w:cs="David"/>
          <w:rtl/>
        </w:rPr>
        <w:t>המעוול</w:t>
      </w:r>
      <w:proofErr w:type="spellEnd"/>
      <w:r w:rsidRPr="002015B0">
        <w:rPr>
          <w:rFonts w:ascii="Arial" w:hAnsi="Arial" w:cs="David"/>
          <w:rtl/>
        </w:rPr>
        <w:t xml:space="preserve"> ("מבחן הצפיות"). זהו מבחן אובייקטיבי אשר נבחן על-פי סטנדרט האדם הסביר. כלומר, האם האדם הסביר היה יכול בנסיבות העניין לצפות את הנזק?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רשלנות תורמת (אשם תורם)</w:t>
      </w:r>
      <w:r w:rsidRPr="002015B0">
        <w:rPr>
          <w:rFonts w:ascii="Arial" w:hAnsi="Arial" w:cs="David"/>
          <w:rtl/>
        </w:rPr>
        <w:t>- טענת הגנה של נתבע כנגד תובע בתביעה נזיקית, ומשמעותה היא שאם הוכיח המזיק (הנתבע) כי הניזוק (התובע) נושא אף הוא באשם כלשהו להתרחשות הנזק שאירע, כי אז יקבע בית המשפט את מידת אשמתו של הניזוק לנזק שאירע ויפחית בהתאם לכך את הפיצוי המגיע לו מאת המזיק. נטל הוכחת האשם התורם מוטל על כתפיו של הנתבע.</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עקרון הקטנת הנזק</w:t>
      </w:r>
      <w:r w:rsidRPr="002015B0">
        <w:rPr>
          <w:rFonts w:ascii="Arial" w:hAnsi="Arial" w:cs="David"/>
          <w:rtl/>
        </w:rPr>
        <w:t>- עקרון כללי בדיני החיובים שהתפתח בפסיקת בתי המשפט, ולפיו על הניזוק מוטלת החובה לעשות את כל הפעולות הסבירות על מנת להקטין את הנזק שנגרם לו על-ידי המזיק.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פיצויים</w:t>
      </w:r>
      <w:r w:rsidRPr="002015B0">
        <w:rPr>
          <w:rFonts w:ascii="Arial" w:hAnsi="Arial" w:cs="David"/>
          <w:rtl/>
        </w:rPr>
        <w:t>- סכום כספי שמוטל על מזיק לשלמו לניזוק, כדי לפצות את הניזוק על הנזק שנגרם לו.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נזק</w:t>
      </w:r>
      <w:r w:rsidRPr="002015B0">
        <w:rPr>
          <w:rFonts w:ascii="Arial" w:hAnsi="Arial" w:cs="David"/>
          <w:rtl/>
        </w:rPr>
        <w:t xml:space="preserve">- אבדן חיים, אבדן נכס, נוחות, רווחה גופנית או שם-טוב, או חיסור מהם, וכל אבדן או חיסור כיוצאים באלה הנובעים מהתנהגותו של המזיק כלפי הניזוק. על התובע מוטלת החובה להוכיח את גובה נזקיו. </w:t>
      </w:r>
    </w:p>
    <w:p w:rsidR="0045569A" w:rsidRPr="002015B0" w:rsidRDefault="00B20AF3" w:rsidP="00B20AF3">
      <w:pPr>
        <w:pStyle w:val="NormalWeb"/>
        <w:bidi/>
        <w:spacing w:beforeAutospacing="0" w:after="0" w:afterAutospacing="0"/>
        <w:ind w:right="113"/>
        <w:jc w:val="both"/>
        <w:rPr>
          <w:rFonts w:ascii="Arial" w:hAnsi="Arial" w:cs="David"/>
          <w:rtl/>
        </w:rPr>
      </w:pPr>
      <w:r>
        <w:rPr>
          <w:rFonts w:ascii="Arial" w:hAnsi="Arial" w:cs="David"/>
          <w:b/>
          <w:bCs/>
          <w:rtl/>
        </w:rPr>
        <w:t>ראשי נזק</w:t>
      </w:r>
      <w:r w:rsidR="0045569A" w:rsidRPr="002015B0">
        <w:rPr>
          <w:rFonts w:ascii="Arial" w:hAnsi="Arial" w:cs="David"/>
          <w:rtl/>
        </w:rPr>
        <w:t>- קטגוריות שונות של סוגי נזקים המרכיבים את הנזק בכללותו (כגון - כאב וסבל, הפסדי השתכרות, הוצאות, קיצור תוחלת החיים ועוד).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כאב וסבל</w:t>
      </w:r>
      <w:r w:rsidRPr="002015B0">
        <w:rPr>
          <w:rFonts w:ascii="Arial" w:hAnsi="Arial" w:cs="David"/>
          <w:rtl/>
        </w:rPr>
        <w:t>- ראש נזק המתאר את עוגמת הנפש, הכאב והסבל שחווה הנפגע כתוצאה מהעוולה. סכום הפיצוי בגין ראש נזק זה משתנה ונקבע על-פי מספר פרמטרים, לרבות גילו של הנפגע, חומרת הפגיעה, שיעור אחוזי הנכות שנותרו לו עקב הפגיעה ועוד.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lastRenderedPageBreak/>
        <w:t>אובדן השתכרות</w:t>
      </w:r>
      <w:r w:rsidRPr="002015B0">
        <w:rPr>
          <w:rFonts w:ascii="Arial" w:hAnsi="Arial" w:cs="David"/>
          <w:rtl/>
        </w:rPr>
        <w:t xml:space="preserve">- ראש נזק המתאר את הפסדי השכר אשר נגרמו לניזוק בתקופה בה לא עבד (ו/או בתקופה בה לא יעבוד בעתיד) בשל נזקי ומגבלות הגוף שנגרמו לו כתוצאה מהעוולה.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נכות רפואית</w:t>
      </w:r>
      <w:r w:rsidRPr="002015B0">
        <w:rPr>
          <w:rFonts w:ascii="Arial" w:hAnsi="Arial" w:cs="David"/>
          <w:rtl/>
        </w:rPr>
        <w:t xml:space="preserve">- מדד מספרי (באחוזים) המתאר את פגיעתו הרפואית של התובע-הניזוק.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עזרת הזולת (עזרת צד ג')</w:t>
      </w:r>
      <w:r w:rsidRPr="002015B0">
        <w:rPr>
          <w:rFonts w:ascii="Arial" w:hAnsi="Arial" w:cs="David"/>
          <w:rtl/>
        </w:rPr>
        <w:t>- ראש נזק המתאר את ההוצאות שהוציא/יוציא התובע-הניזוק בגין הצורך בעזרה לביצוע פעולות אשר הוא אינו מסוגל לבצען בשל נזקי ומגבלות הגוף שנגרמו לו כתוצאה מהעוולה.</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דמי פגיעה</w:t>
      </w:r>
      <w:r w:rsidRPr="002015B0">
        <w:rPr>
          <w:rFonts w:ascii="Arial" w:hAnsi="Arial" w:cs="David"/>
          <w:rtl/>
        </w:rPr>
        <w:t>- תשלום שהמוסד לביטוח לאומי משלם לאדם שנפגע בעבודה (מתאונת עבודה או ממחלת מקצוע), ועקב כך הוא אינו מסוגל לעבוד (מקביל לתשלום עבור "ימי מחלה").</w:t>
      </w:r>
    </w:p>
    <w:p w:rsidR="0045569A" w:rsidRPr="002015B0" w:rsidRDefault="00B20AF3" w:rsidP="00B20AF3">
      <w:pPr>
        <w:pStyle w:val="NormalWeb"/>
        <w:bidi/>
        <w:spacing w:beforeAutospacing="0" w:after="0" w:afterAutospacing="0"/>
        <w:ind w:right="113"/>
        <w:jc w:val="both"/>
        <w:rPr>
          <w:rFonts w:ascii="Arial" w:hAnsi="Arial" w:cs="David"/>
          <w:rtl/>
        </w:rPr>
      </w:pPr>
      <w:r>
        <w:rPr>
          <w:rFonts w:ascii="Arial" w:hAnsi="Arial" w:cs="David"/>
          <w:b/>
          <w:bCs/>
          <w:rtl/>
        </w:rPr>
        <w:t>מענק/קצבת נכות מעבודה</w:t>
      </w:r>
      <w:r w:rsidR="0045569A" w:rsidRPr="002015B0">
        <w:rPr>
          <w:rFonts w:ascii="Arial" w:hAnsi="Arial" w:cs="David"/>
          <w:rtl/>
        </w:rPr>
        <w:t>- מענק חד-פעמי או קצבה חודשית שהמוסד לביטוח לאומי משלם לאדם שעקב פגיעה בעבודה נפגע כושרו לעבוד, והוא אינו מסוגל לעשות עבודה שבן גילו ומינו מסוגל לעשותה. הברירה בין קבלת מענק נכות לבין קבלת קצבת נכות נקבעת בהתאם לגובה נכותו הרפואית של הנפגע.</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b/>
          <w:bCs/>
          <w:rtl/>
        </w:rPr>
        <w:t xml:space="preserve">פיצויים </w:t>
      </w:r>
      <w:proofErr w:type="spellStart"/>
      <w:r w:rsidRPr="002015B0">
        <w:rPr>
          <w:rFonts w:ascii="Arial" w:hAnsi="Arial" w:cs="David"/>
          <w:b/>
          <w:bCs/>
          <w:rtl/>
        </w:rPr>
        <w:t>עונשיים</w:t>
      </w:r>
      <w:proofErr w:type="spellEnd"/>
      <w:r w:rsidRPr="002015B0">
        <w:rPr>
          <w:rFonts w:ascii="Arial" w:hAnsi="Arial" w:cs="David"/>
          <w:rtl/>
        </w:rPr>
        <w:t xml:space="preserve">- פיצוי כספי אשר ניתן לניזוק מעבר לסך הנזק שנגרם לו בפועל. מטרת הפיצויים </w:t>
      </w:r>
      <w:proofErr w:type="spellStart"/>
      <w:r w:rsidRPr="002015B0">
        <w:rPr>
          <w:rFonts w:ascii="Arial" w:hAnsi="Arial" w:cs="David"/>
          <w:rtl/>
        </w:rPr>
        <w:t>העונשיים</w:t>
      </w:r>
      <w:proofErr w:type="spellEnd"/>
      <w:r w:rsidRPr="002015B0">
        <w:rPr>
          <w:rFonts w:ascii="Arial" w:hAnsi="Arial" w:cs="David"/>
          <w:rtl/>
        </w:rPr>
        <w:t xml:space="preserve"> היא להעניש את המזיק על התנהגותו הרעה וכן להביע את סלידת בית המשפט מחומרת ואופי מעשיו/מחדליו.</w:t>
      </w:r>
    </w:p>
    <w:p w:rsidR="0045569A" w:rsidRPr="002015B0" w:rsidRDefault="0045569A" w:rsidP="002015B0">
      <w:pPr>
        <w:spacing w:after="0" w:line="240" w:lineRule="auto"/>
        <w:rPr>
          <w:rFonts w:cs="David" w:hint="cs"/>
          <w:b/>
          <w:bCs/>
          <w:sz w:val="24"/>
          <w:szCs w:val="24"/>
          <w:rtl/>
        </w:rPr>
      </w:pPr>
    </w:p>
    <w:p w:rsidR="00E83F26" w:rsidRPr="002015B0" w:rsidRDefault="00E83F26" w:rsidP="002015B0">
      <w:pPr>
        <w:spacing w:after="0" w:line="240" w:lineRule="auto"/>
        <w:rPr>
          <w:rFonts w:cs="David" w:hint="cs"/>
          <w:b/>
          <w:bCs/>
          <w:sz w:val="24"/>
          <w:szCs w:val="24"/>
          <w:u w:val="single"/>
          <w:rtl/>
        </w:rPr>
      </w:pPr>
      <w:r w:rsidRPr="002015B0">
        <w:rPr>
          <w:rFonts w:cs="David" w:hint="cs"/>
          <w:b/>
          <w:bCs/>
          <w:sz w:val="24"/>
          <w:szCs w:val="24"/>
          <w:u w:val="single"/>
          <w:rtl/>
        </w:rPr>
        <w:t>סיכום השיעור</w:t>
      </w:r>
      <w:r w:rsidRPr="002015B0">
        <w:rPr>
          <w:rFonts w:cs="David" w:hint="cs"/>
          <w:b/>
          <w:bCs/>
          <w:sz w:val="24"/>
          <w:szCs w:val="24"/>
          <w:rtl/>
        </w:rPr>
        <w:t>:</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בשיעור זה עסקנו בדיני </w:t>
      </w:r>
      <w:proofErr w:type="spellStart"/>
      <w:r w:rsidRPr="002015B0">
        <w:rPr>
          <w:rFonts w:ascii="Arial" w:hAnsi="Arial" w:cs="David"/>
          <w:rtl/>
        </w:rPr>
        <w:t>הנזיקין</w:t>
      </w:r>
      <w:proofErr w:type="spellEnd"/>
      <w:r w:rsidRPr="002015B0">
        <w:rPr>
          <w:rFonts w:ascii="Arial" w:hAnsi="Arial" w:cs="David"/>
          <w:rtl/>
        </w:rPr>
        <w:t xml:space="preserve"> של מדינת ישראל.</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השיעור התחלנו בבחינת היקפם של דיני </w:t>
      </w:r>
      <w:proofErr w:type="spellStart"/>
      <w:r w:rsidRPr="002015B0">
        <w:rPr>
          <w:rFonts w:ascii="Arial" w:hAnsi="Arial" w:cs="David"/>
          <w:rtl/>
        </w:rPr>
        <w:t>הנזיקין</w:t>
      </w:r>
      <w:proofErr w:type="spellEnd"/>
      <w:r w:rsidRPr="002015B0">
        <w:rPr>
          <w:rFonts w:ascii="Arial" w:hAnsi="Arial" w:cs="David"/>
          <w:rtl/>
        </w:rPr>
        <w:t xml:space="preserve">, כתחום המשפט שעוסק בסיטואציות בהן כתוצאה ממעשיו או מחדליו של גורם </w:t>
      </w:r>
      <w:proofErr w:type="spellStart"/>
      <w:r w:rsidRPr="002015B0">
        <w:rPr>
          <w:rFonts w:ascii="Arial" w:hAnsi="Arial" w:cs="David"/>
          <w:rtl/>
        </w:rPr>
        <w:t>מסויים</w:t>
      </w:r>
      <w:proofErr w:type="spellEnd"/>
      <w:r w:rsidRPr="002015B0">
        <w:rPr>
          <w:rFonts w:ascii="Arial" w:hAnsi="Arial" w:cs="David"/>
          <w:rtl/>
        </w:rPr>
        <w:t xml:space="preserve"> נגרם נזק לאדם אחר, כאשר בגין אותם מעשים/מחדלים אנו מטילים על גורם הנזק (</w:t>
      </w:r>
      <w:r w:rsidRPr="002015B0">
        <w:rPr>
          <w:rFonts w:ascii="Arial" w:hAnsi="Arial" w:cs="David"/>
          <w:b/>
          <w:bCs/>
          <w:rtl/>
        </w:rPr>
        <w:t>המזיק</w:t>
      </w:r>
      <w:r w:rsidRPr="002015B0">
        <w:rPr>
          <w:rFonts w:ascii="Arial" w:hAnsi="Arial" w:cs="David"/>
          <w:rtl/>
        </w:rPr>
        <w:t>) חבות ואחריות לנזקים שנגרמו לאדם שסבל את הנזק (</w:t>
      </w:r>
      <w:r w:rsidRPr="002015B0">
        <w:rPr>
          <w:rFonts w:ascii="Arial" w:hAnsi="Arial" w:cs="David"/>
          <w:b/>
          <w:bCs/>
          <w:rtl/>
        </w:rPr>
        <w:t>הניזוק</w:t>
      </w:r>
      <w:r w:rsidRPr="002015B0">
        <w:rPr>
          <w:rFonts w:ascii="Arial" w:hAnsi="Arial" w:cs="David"/>
          <w:rtl/>
        </w:rPr>
        <w:t xml:space="preserve">). כן עמדנו על-כך כי אותם מעשים או מחדלים האסורים על-פי דיני </w:t>
      </w:r>
      <w:proofErr w:type="spellStart"/>
      <w:r w:rsidRPr="002015B0">
        <w:rPr>
          <w:rFonts w:ascii="Arial" w:hAnsi="Arial" w:cs="David"/>
          <w:rtl/>
        </w:rPr>
        <w:t>הנזיקין</w:t>
      </w:r>
      <w:proofErr w:type="spellEnd"/>
      <w:r w:rsidRPr="002015B0">
        <w:rPr>
          <w:rFonts w:ascii="Arial" w:hAnsi="Arial" w:cs="David"/>
          <w:rtl/>
        </w:rPr>
        <w:t xml:space="preserve"> נקראים "</w:t>
      </w:r>
      <w:r w:rsidRPr="002015B0">
        <w:rPr>
          <w:rFonts w:ascii="Arial" w:hAnsi="Arial" w:cs="David"/>
          <w:b/>
          <w:bCs/>
          <w:rtl/>
        </w:rPr>
        <w:t>עוולות</w:t>
      </w:r>
      <w:r w:rsidRPr="002015B0">
        <w:rPr>
          <w:rFonts w:ascii="Arial" w:hAnsi="Arial" w:cs="David"/>
          <w:rtl/>
        </w:rPr>
        <w:t xml:space="preserve">", והן מתארות שורה של מצבים שבהם נגרם נזק לאדם, בין לגופו ובין לרכושו, ובגין </w:t>
      </w:r>
      <w:r w:rsidRPr="002015B0">
        <w:rPr>
          <w:rFonts w:ascii="Arial" w:hAnsi="Arial" w:cs="David"/>
          <w:b/>
          <w:bCs/>
          <w:rtl/>
        </w:rPr>
        <w:t>הנזק</w:t>
      </w:r>
      <w:r w:rsidRPr="002015B0">
        <w:rPr>
          <w:rFonts w:ascii="Arial" w:hAnsi="Arial" w:cs="David"/>
          <w:rtl/>
        </w:rPr>
        <w:t xml:space="preserve"> מבקש הניזוק פיצוי מהמזיק [כגון - תאונות (תאונות דרכים, תאונות עבודה וכו'), רשלנות (רשלנות רפואית וכו'), תקיפה, לשון הרע, מטרד (רעש, זיהום אוויר וכו') ועוד].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עוד עמדנו כל-כך כי מטרת דיני </w:t>
      </w:r>
      <w:proofErr w:type="spellStart"/>
      <w:r w:rsidRPr="002015B0">
        <w:rPr>
          <w:rFonts w:ascii="Arial" w:hAnsi="Arial" w:cs="David"/>
          <w:rtl/>
        </w:rPr>
        <w:t>הנזיקין</w:t>
      </w:r>
      <w:proofErr w:type="spellEnd"/>
      <w:r w:rsidRPr="002015B0">
        <w:rPr>
          <w:rFonts w:ascii="Arial" w:hAnsi="Arial" w:cs="David"/>
          <w:rtl/>
        </w:rPr>
        <w:t xml:space="preserve"> בישראל היא </w:t>
      </w:r>
      <w:r w:rsidRPr="002015B0">
        <w:rPr>
          <w:rFonts w:ascii="Arial" w:hAnsi="Arial" w:cs="David"/>
          <w:b/>
          <w:bCs/>
          <w:rtl/>
        </w:rPr>
        <w:t>השבת המצב לקדמותו</w:t>
      </w:r>
      <w:r w:rsidRPr="002015B0">
        <w:rPr>
          <w:rFonts w:ascii="Arial" w:hAnsi="Arial" w:cs="David"/>
          <w:rtl/>
        </w:rPr>
        <w:t xml:space="preserve"> (כלומר, ניסיון להחזיר את הניזוק ככל האפשר למצב בו היה נמצא אלמלא בוצעה העוולה), מטרה ממנה נגזרים מספר עקרונות בדיני </w:t>
      </w:r>
      <w:proofErr w:type="spellStart"/>
      <w:r w:rsidRPr="002015B0">
        <w:rPr>
          <w:rFonts w:ascii="Arial" w:hAnsi="Arial" w:cs="David"/>
          <w:rtl/>
        </w:rPr>
        <w:t>הנזיקין</w:t>
      </w:r>
      <w:proofErr w:type="spellEnd"/>
      <w:r w:rsidRPr="002015B0">
        <w:rPr>
          <w:rFonts w:ascii="Arial" w:hAnsi="Arial" w:cs="David"/>
          <w:rtl/>
        </w:rPr>
        <w:t xml:space="preserve">, כגון </w:t>
      </w:r>
      <w:proofErr w:type="spellStart"/>
      <w:r w:rsidRPr="002015B0">
        <w:rPr>
          <w:rFonts w:ascii="Arial" w:hAnsi="Arial" w:cs="David"/>
          <w:rtl/>
        </w:rPr>
        <w:t>העקרון</w:t>
      </w:r>
      <w:proofErr w:type="spellEnd"/>
      <w:r w:rsidRPr="002015B0">
        <w:rPr>
          <w:rFonts w:ascii="Arial" w:hAnsi="Arial" w:cs="David"/>
          <w:rtl/>
        </w:rPr>
        <w:t xml:space="preserve"> לפיו לא ניתן לקבל כפל פיצוי בגין אותו מעשה עוולה ובגין אותו נזק שנגרם, שאחרת לא רק שמצבו של הניזוק יחזור לקדמותו, אלא אף ישופר יחסית לקדמותו.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כאשר שוחחנו על מושג האחריות הנזיקית נוכחנו לדעת כי ישנם חמישה סוגים שונים של אחריות </w:t>
      </w:r>
      <w:proofErr w:type="spellStart"/>
      <w:r w:rsidRPr="002015B0">
        <w:rPr>
          <w:rFonts w:ascii="Arial" w:hAnsi="Arial" w:cs="David"/>
          <w:rtl/>
        </w:rPr>
        <w:t>בנזיקין</w:t>
      </w:r>
      <w:proofErr w:type="spellEnd"/>
      <w:r w:rsidRPr="002015B0">
        <w:rPr>
          <w:rFonts w:ascii="Arial" w:hAnsi="Arial" w:cs="David"/>
          <w:rtl/>
        </w:rPr>
        <w:t xml:space="preserve"> (אחריות </w:t>
      </w:r>
      <w:r w:rsidRPr="002015B0">
        <w:rPr>
          <w:rFonts w:ascii="Arial" w:hAnsi="Arial" w:cs="David"/>
          <w:b/>
          <w:bCs/>
          <w:rtl/>
        </w:rPr>
        <w:t>מוחלטת</w:t>
      </w:r>
      <w:r w:rsidRPr="002015B0">
        <w:rPr>
          <w:rFonts w:ascii="Arial" w:hAnsi="Arial" w:cs="David"/>
          <w:rtl/>
        </w:rPr>
        <w:t xml:space="preserve">, אחריות </w:t>
      </w:r>
      <w:r w:rsidRPr="002015B0">
        <w:rPr>
          <w:rFonts w:ascii="Arial" w:hAnsi="Arial" w:cs="David"/>
          <w:b/>
          <w:bCs/>
          <w:rtl/>
        </w:rPr>
        <w:t>חמורה</w:t>
      </w:r>
      <w:r w:rsidRPr="002015B0">
        <w:rPr>
          <w:rFonts w:ascii="Arial" w:hAnsi="Arial" w:cs="David"/>
          <w:rtl/>
        </w:rPr>
        <w:t xml:space="preserve">, אחריות </w:t>
      </w:r>
      <w:r w:rsidRPr="002015B0">
        <w:rPr>
          <w:rFonts w:ascii="Arial" w:hAnsi="Arial" w:cs="David"/>
          <w:b/>
          <w:bCs/>
          <w:rtl/>
        </w:rPr>
        <w:t>מוגברת</w:t>
      </w:r>
      <w:r w:rsidRPr="002015B0">
        <w:rPr>
          <w:rFonts w:ascii="Arial" w:hAnsi="Arial" w:cs="David"/>
          <w:rtl/>
        </w:rPr>
        <w:t xml:space="preserve">, אחריות </w:t>
      </w:r>
      <w:r w:rsidRPr="002015B0">
        <w:rPr>
          <w:rFonts w:ascii="Arial" w:hAnsi="Arial" w:cs="David"/>
          <w:b/>
          <w:bCs/>
          <w:rtl/>
        </w:rPr>
        <w:t>רגילה</w:t>
      </w:r>
      <w:r w:rsidRPr="002015B0">
        <w:rPr>
          <w:rFonts w:ascii="Arial" w:hAnsi="Arial" w:cs="David"/>
          <w:rtl/>
        </w:rPr>
        <w:t xml:space="preserve"> ואחריות </w:t>
      </w:r>
      <w:proofErr w:type="spellStart"/>
      <w:r w:rsidRPr="002015B0">
        <w:rPr>
          <w:rFonts w:ascii="Arial" w:hAnsi="Arial" w:cs="David"/>
          <w:b/>
          <w:bCs/>
          <w:rtl/>
        </w:rPr>
        <w:t>שילוחית</w:t>
      </w:r>
      <w:proofErr w:type="spellEnd"/>
      <w:r w:rsidRPr="002015B0">
        <w:rPr>
          <w:rFonts w:ascii="Arial" w:hAnsi="Arial" w:cs="David"/>
          <w:rtl/>
        </w:rPr>
        <w:t xml:space="preserve">), תוך שבחנו את ההבדלים המהותיים ביניהם ונתנו דוגמאות לסוגי האחריות השונים.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כאמור, במהלך השיעור הגדרנו את המושג "עוולה" כהתנהגות אסורה על-פי דיני </w:t>
      </w:r>
      <w:proofErr w:type="spellStart"/>
      <w:r w:rsidRPr="002015B0">
        <w:rPr>
          <w:rFonts w:ascii="Arial" w:hAnsi="Arial" w:cs="David"/>
          <w:rtl/>
        </w:rPr>
        <w:t>הנזיקין</w:t>
      </w:r>
      <w:proofErr w:type="spellEnd"/>
      <w:r w:rsidRPr="002015B0">
        <w:rPr>
          <w:rFonts w:ascii="Arial" w:hAnsi="Arial" w:cs="David"/>
          <w:rtl/>
        </w:rPr>
        <w:t xml:space="preserve">, וראינו כי אותן עוולות חולקו על-ידי המחוקק לשני סוגים: </w:t>
      </w:r>
      <w:r w:rsidRPr="002015B0">
        <w:rPr>
          <w:rFonts w:ascii="Arial" w:hAnsi="Arial" w:cs="David"/>
          <w:b/>
          <w:bCs/>
          <w:rtl/>
        </w:rPr>
        <w:t>עוולות פרטיקולאריות</w:t>
      </w:r>
      <w:r w:rsidRPr="002015B0">
        <w:rPr>
          <w:rFonts w:ascii="Arial" w:hAnsi="Arial" w:cs="David"/>
          <w:rtl/>
        </w:rPr>
        <w:t xml:space="preserve"> - עוולות ספציפיות הנתונות למערכת עובדתית קבועה, ברורה וחד-משמעית; </w:t>
      </w:r>
      <w:r w:rsidRPr="002015B0">
        <w:rPr>
          <w:rFonts w:ascii="Arial" w:hAnsi="Arial" w:cs="David"/>
          <w:b/>
          <w:bCs/>
          <w:rtl/>
        </w:rPr>
        <w:t>ועוולות מסגרת</w:t>
      </w:r>
      <w:r w:rsidRPr="002015B0">
        <w:rPr>
          <w:rFonts w:ascii="Arial" w:hAnsi="Arial" w:cs="David"/>
          <w:rtl/>
        </w:rPr>
        <w:t xml:space="preserve"> - עוולות רחבות שיכולות להתאים למקרים רבים, ואשר המתוות קווים כלליים להתנהגויות אסורות.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במהלך הדיון שלנו על עוולות המסגרת התמקדנו בעוולת </w:t>
      </w:r>
      <w:r w:rsidRPr="002015B0">
        <w:rPr>
          <w:rFonts w:ascii="Arial" w:hAnsi="Arial" w:cs="David"/>
          <w:b/>
          <w:bCs/>
          <w:rtl/>
        </w:rPr>
        <w:t>הרשלנות</w:t>
      </w:r>
      <w:r w:rsidRPr="002015B0">
        <w:rPr>
          <w:rFonts w:ascii="Arial" w:hAnsi="Arial" w:cs="David"/>
          <w:rtl/>
        </w:rPr>
        <w:t xml:space="preserve">, אשר מוגדרת על-ידי רבים כעוולה המרכזית בדיני </w:t>
      </w:r>
      <w:proofErr w:type="spellStart"/>
      <w:r w:rsidRPr="002015B0">
        <w:rPr>
          <w:rFonts w:ascii="Arial" w:hAnsi="Arial" w:cs="David"/>
          <w:rtl/>
        </w:rPr>
        <w:t>הנזיקין</w:t>
      </w:r>
      <w:proofErr w:type="spellEnd"/>
      <w:r w:rsidRPr="002015B0">
        <w:rPr>
          <w:rFonts w:ascii="Arial" w:hAnsi="Arial" w:cs="David"/>
          <w:rtl/>
        </w:rPr>
        <w:t xml:space="preserve">. ראינו כי בהתאם לסעיף 35 לפקודת </w:t>
      </w:r>
      <w:proofErr w:type="spellStart"/>
      <w:r w:rsidRPr="002015B0">
        <w:rPr>
          <w:rFonts w:ascii="Arial" w:hAnsi="Arial" w:cs="David"/>
          <w:rtl/>
        </w:rPr>
        <w:t>הנזיקין</w:t>
      </w:r>
      <w:proofErr w:type="spellEnd"/>
      <w:r w:rsidRPr="002015B0">
        <w:rPr>
          <w:rFonts w:ascii="Arial" w:hAnsi="Arial" w:cs="David"/>
          <w:rtl/>
        </w:rPr>
        <w:t>, מוגדרת הרשלנות כהתנהגות (מעשה או מחדל) הסוטה מסטנדרט התנהגות סביר ומקובל בחברה ואשר כתוצאה מכך נגרם נזק לאדם אחר. דהיינו, לעוולת הרשלנות שלושה יסודות: קיומה של חובת זהירות, הפרת חובת הזהירות וקיומו של נזק.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את יתרת השיעור הקדשנו להכרת ולימוד יסודות עוולת הרשלנות הנ"ל.</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בדיון על </w:t>
      </w:r>
      <w:r w:rsidRPr="002015B0">
        <w:rPr>
          <w:rFonts w:ascii="Arial" w:hAnsi="Arial" w:cs="David"/>
          <w:b/>
          <w:bCs/>
          <w:rtl/>
        </w:rPr>
        <w:t xml:space="preserve">חובת הזהירות </w:t>
      </w:r>
      <w:r w:rsidRPr="002015B0">
        <w:rPr>
          <w:rFonts w:ascii="Arial" w:hAnsi="Arial" w:cs="David"/>
          <w:rtl/>
        </w:rPr>
        <w:t xml:space="preserve">ראינו כי המקור ההיסטורי לחובה זאת נמצא בפסק-הדין </w:t>
      </w:r>
      <w:r w:rsidRPr="002015B0">
        <w:rPr>
          <w:rFonts w:ascii="Arial" w:hAnsi="Arial" w:cs="David"/>
        </w:rPr>
        <w:t xml:space="preserve">Donoghue Vs. </w:t>
      </w:r>
      <w:proofErr w:type="gramStart"/>
      <w:r w:rsidRPr="002015B0">
        <w:rPr>
          <w:rFonts w:ascii="Arial" w:hAnsi="Arial" w:cs="David"/>
        </w:rPr>
        <w:t>Stevenson</w:t>
      </w:r>
      <w:r w:rsidRPr="002015B0">
        <w:rPr>
          <w:rFonts w:ascii="Arial" w:hAnsi="Arial" w:cs="David"/>
          <w:rtl/>
        </w:rPr>
        <w:t xml:space="preserve">, שם נקבע על-ידי בית הלורדים באנגליה הכלל הרחב לפיו "יש לאדם חובת זהירות כלפי מי שקרוב אליו" (בישראל נקלטה החובה ממקור זה בפסק-דין </w:t>
      </w:r>
      <w:proofErr w:type="spellStart"/>
      <w:r w:rsidRPr="002015B0">
        <w:rPr>
          <w:rFonts w:ascii="Arial" w:hAnsi="Arial" w:cs="David"/>
          <w:rtl/>
        </w:rPr>
        <w:t>פריצקר</w:t>
      </w:r>
      <w:proofErr w:type="spellEnd"/>
      <w:r w:rsidRPr="002015B0">
        <w:rPr>
          <w:rFonts w:ascii="Arial" w:hAnsi="Arial" w:cs="David"/>
          <w:rtl/>
        </w:rPr>
        <w:t>).</w:t>
      </w:r>
      <w:proofErr w:type="gramEnd"/>
      <w:r w:rsidRPr="002015B0">
        <w:rPr>
          <w:rFonts w:ascii="Arial" w:hAnsi="Arial" w:cs="David"/>
          <w:rtl/>
        </w:rPr>
        <w:t xml:space="preserve"> עוד ראינו כי בפסקי-הדין בעניין </w:t>
      </w:r>
      <w:proofErr w:type="spellStart"/>
      <w:r w:rsidRPr="002015B0">
        <w:rPr>
          <w:rFonts w:ascii="Arial" w:hAnsi="Arial" w:cs="David"/>
          <w:rtl/>
        </w:rPr>
        <w:t>ועקנין</w:t>
      </w:r>
      <w:proofErr w:type="spellEnd"/>
      <w:r w:rsidRPr="002015B0">
        <w:rPr>
          <w:rFonts w:ascii="Arial" w:hAnsi="Arial" w:cs="David"/>
          <w:rtl/>
        </w:rPr>
        <w:t xml:space="preserve"> נ' המועצה המקומית בית שמש ויערי נ' מדינת ישראל, פיתח השופט ברק "מבחן דו-שלבי" לצורך בחינת חובת הזהירות: </w:t>
      </w:r>
      <w:r w:rsidRPr="002015B0">
        <w:rPr>
          <w:rFonts w:ascii="Arial" w:hAnsi="Arial" w:cs="David"/>
          <w:b/>
          <w:bCs/>
          <w:rtl/>
        </w:rPr>
        <w:t>חובת זהירות מושגית</w:t>
      </w:r>
      <w:r w:rsidRPr="002015B0">
        <w:rPr>
          <w:rFonts w:ascii="Arial" w:hAnsi="Arial" w:cs="David"/>
          <w:rtl/>
        </w:rPr>
        <w:t xml:space="preserve">, הבוחנת האם ככלל בין סוג המזיקים, אליו משתייך המזיק, לבין סוג הניזוקים, אליו משתייך הניזוק, קיימים יחסים המצדיקים קיומה של חובת זהירות; ובמידה שקיימת חובת זהירות מושגית, תיבדק גם </w:t>
      </w:r>
      <w:r w:rsidRPr="002015B0">
        <w:rPr>
          <w:rFonts w:ascii="Arial" w:hAnsi="Arial" w:cs="David"/>
          <w:b/>
          <w:bCs/>
          <w:rtl/>
        </w:rPr>
        <w:t>חובת הזהירות הקונקרטית</w:t>
      </w:r>
      <w:r w:rsidRPr="002015B0">
        <w:rPr>
          <w:rFonts w:ascii="Arial" w:hAnsi="Arial" w:cs="David"/>
          <w:rtl/>
        </w:rPr>
        <w:t>, אשר תיבחן האם במצב הספציפי הנדון אכן מתקיימת חובת זהירות (הדרישה לקיום שתי חובות הזהירות היא מצטברת).</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לאחר שבדקנו כי אמנם מתקיימת חובת זהירות בין המזיק לניזוק (הן מושגית והן קונקרטית) ראינו כי יש לבדוק את היסוד השני של עוולת הרשלנות ולבחון האם </w:t>
      </w:r>
      <w:r w:rsidRPr="002015B0">
        <w:rPr>
          <w:rFonts w:ascii="Arial" w:hAnsi="Arial" w:cs="David"/>
          <w:b/>
          <w:bCs/>
          <w:rtl/>
        </w:rPr>
        <w:t>הופרה חובת הזהירות</w:t>
      </w:r>
      <w:r w:rsidRPr="002015B0">
        <w:rPr>
          <w:rFonts w:ascii="Arial" w:hAnsi="Arial" w:cs="David"/>
          <w:rtl/>
        </w:rPr>
        <w:t xml:space="preserve"> במקרה הספציפי. לצורך ההמחשה לקחנו דוגמא מיחסי מעביד ועובד, לגביהם קבעה הפסיקה באופן קטגורי כי מעביד חייב חובת זהירות כלפיו עובדיו, כך שעליו לספק לעובדיו סביבת עבודה בטוחה, שאם לא יעשה כן - יחשב כמפר את חובת הזהירות המוטלת עליו כמעביד.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כנקודה משלימה לעניין יסודות עוולת הרשלנות, ובטרם דנו בנזק עצמו, נגענו גם בסוגיית </w:t>
      </w:r>
      <w:r w:rsidRPr="002015B0">
        <w:rPr>
          <w:rFonts w:ascii="Arial" w:hAnsi="Arial" w:cs="David"/>
          <w:b/>
          <w:bCs/>
          <w:rtl/>
        </w:rPr>
        <w:t>הקשר הסיבתי</w:t>
      </w:r>
      <w:r w:rsidRPr="002015B0">
        <w:rPr>
          <w:rFonts w:ascii="Arial" w:hAnsi="Arial" w:cs="David"/>
          <w:rtl/>
        </w:rPr>
        <w:t xml:space="preserve"> בין הפרת חובת הזהירות לבין הנזק, קשר אשר בודק האם הנזק שנגרם אכן נגרם בשל הפרת חובת הזהירות על-ידי המזיק או שמא על-ידי גורם אחר. ראינו כי בפסיקת בתי המשפט פוצל יסוד הקשר הסיבתי לשני רכיבים </w:t>
      </w:r>
      <w:r w:rsidRPr="002015B0">
        <w:rPr>
          <w:rFonts w:ascii="Arial" w:hAnsi="Arial" w:cs="David"/>
          <w:rtl/>
        </w:rPr>
        <w:lastRenderedPageBreak/>
        <w:t xml:space="preserve">מצטברים: </w:t>
      </w:r>
      <w:r w:rsidRPr="002015B0">
        <w:rPr>
          <w:rFonts w:ascii="Arial" w:hAnsi="Arial" w:cs="David"/>
          <w:b/>
          <w:bCs/>
          <w:rtl/>
        </w:rPr>
        <w:t xml:space="preserve">קשר סיבתי עובדתי </w:t>
      </w:r>
      <w:r w:rsidRPr="002015B0">
        <w:rPr>
          <w:rFonts w:ascii="Arial" w:hAnsi="Arial" w:cs="David"/>
          <w:rtl/>
        </w:rPr>
        <w:t xml:space="preserve">(הבוחן האם היה הנזק נגרם גם לולא התנהגות המזיק) </w:t>
      </w:r>
      <w:r w:rsidRPr="002015B0">
        <w:rPr>
          <w:rFonts w:ascii="Arial" w:hAnsi="Arial" w:cs="David"/>
          <w:b/>
          <w:bCs/>
          <w:rtl/>
        </w:rPr>
        <w:t>וקשר סיבתי משפטי</w:t>
      </w:r>
      <w:r w:rsidRPr="002015B0">
        <w:rPr>
          <w:rFonts w:ascii="Arial" w:hAnsi="Arial" w:cs="David"/>
          <w:rtl/>
        </w:rPr>
        <w:t xml:space="preserve"> (הבוחן האם אדם סביר יכול היה בנסיבות העניין לצפות את הנזק).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לקראת סיום השיעור דנו ביסוד השלישי לעוולת הרשלנות, הוא יסוד </w:t>
      </w:r>
      <w:r w:rsidRPr="002015B0">
        <w:rPr>
          <w:rFonts w:ascii="Arial" w:hAnsi="Arial" w:cs="David"/>
          <w:b/>
          <w:bCs/>
          <w:rtl/>
        </w:rPr>
        <w:t>הנזק</w:t>
      </w:r>
      <w:r w:rsidRPr="002015B0">
        <w:rPr>
          <w:rFonts w:ascii="Arial" w:hAnsi="Arial" w:cs="David"/>
          <w:rtl/>
        </w:rPr>
        <w:t xml:space="preserve">. במסגרת זאת נגענו בסוגיית </w:t>
      </w:r>
      <w:r w:rsidRPr="002015B0">
        <w:rPr>
          <w:rFonts w:ascii="Arial" w:hAnsi="Arial" w:cs="David"/>
          <w:b/>
          <w:bCs/>
          <w:rtl/>
        </w:rPr>
        <w:t>הרשלנות התורמת (אשם תורם)</w:t>
      </w:r>
      <w:r w:rsidRPr="002015B0">
        <w:rPr>
          <w:rFonts w:ascii="Arial" w:hAnsi="Arial" w:cs="David"/>
          <w:rtl/>
        </w:rPr>
        <w:t xml:space="preserve"> המהווה טענת הגנה של נתבע כנגד תובע בתביעה נזיקית, ומשמעותה היא שאם הוכיח המזיק (הנתבע) כי הניזוק (התובע) נושא אף הוא באשם כלשהו להתרחשות הנזק שאירע, כי אז יקבע בית המשפט את מידת אשמתו של הניזוק לנזק שאירע ויפחית בהתאם לכך את הפיצוי המגיע לו.</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כן נתנו את הדעת על "</w:t>
      </w:r>
      <w:r w:rsidRPr="002015B0">
        <w:rPr>
          <w:rFonts w:ascii="Arial" w:hAnsi="Arial" w:cs="David"/>
          <w:b/>
          <w:bCs/>
          <w:rtl/>
        </w:rPr>
        <w:t>עקרון הקטנת הנזק</w:t>
      </w:r>
      <w:r w:rsidRPr="002015B0">
        <w:rPr>
          <w:rFonts w:ascii="Arial" w:hAnsi="Arial" w:cs="David"/>
          <w:rtl/>
        </w:rPr>
        <w:t xml:space="preserve">", אשר התפתח בפסיקת בתי המשפט, ולפיו על הניזוק מוטלת החובה לעשות את כל הפעולות הסבירות על מנת להקטין את הנזק שנגרם לו על-ידי המזיק; וכן ראינו כי בדיני </w:t>
      </w:r>
      <w:proofErr w:type="spellStart"/>
      <w:r w:rsidRPr="002015B0">
        <w:rPr>
          <w:rFonts w:ascii="Arial" w:hAnsi="Arial" w:cs="David"/>
          <w:rtl/>
        </w:rPr>
        <w:t>הנזיקין</w:t>
      </w:r>
      <w:proofErr w:type="spellEnd"/>
      <w:r w:rsidRPr="002015B0">
        <w:rPr>
          <w:rFonts w:ascii="Arial" w:hAnsi="Arial" w:cs="David"/>
          <w:rtl/>
        </w:rPr>
        <w:t xml:space="preserve"> שולטת התפיסה לפיה על הפיצוי הכספי שנפסק להסיר את הנזק שנגרם לניזוק במידת האפשר. דהיינו, באמצעות </w:t>
      </w:r>
      <w:r w:rsidRPr="002015B0">
        <w:rPr>
          <w:rFonts w:ascii="Arial" w:hAnsi="Arial" w:cs="David"/>
          <w:b/>
          <w:bCs/>
          <w:rtl/>
        </w:rPr>
        <w:t>הפיצויים</w:t>
      </w:r>
      <w:r w:rsidRPr="002015B0">
        <w:rPr>
          <w:rFonts w:ascii="Arial" w:hAnsi="Arial" w:cs="David"/>
          <w:rtl/>
        </w:rPr>
        <w:t xml:space="preserve"> מנסה הדין להגשים את תכליתו הראשונה במעלה, שהיא השבת הניזוק למקום בו היה אלמלא מעשה </w:t>
      </w:r>
      <w:proofErr w:type="spellStart"/>
      <w:r w:rsidRPr="002015B0">
        <w:rPr>
          <w:rFonts w:ascii="Arial" w:hAnsi="Arial" w:cs="David"/>
          <w:rtl/>
        </w:rPr>
        <w:t>הנזיקין</w:t>
      </w:r>
      <w:proofErr w:type="spellEnd"/>
      <w:r w:rsidRPr="002015B0">
        <w:rPr>
          <w:rFonts w:ascii="Arial" w:hAnsi="Arial" w:cs="David"/>
          <w:rtl/>
        </w:rPr>
        <w:t xml:space="preserve">.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בעניין זה של קביעת הפיצויים ראינו כי הערכת גובה הפיצוי על-ידי בית המשפט מתבצעת באמצעות נתונים שמציג הניזוק בבית המשפט במטרה להוכיח את הנזק שנגרם לו, כאשר הדין מכיר בקטגוריות שונות של סוגי נזקים (</w:t>
      </w:r>
      <w:r w:rsidRPr="002015B0">
        <w:rPr>
          <w:rFonts w:ascii="Arial" w:hAnsi="Arial" w:cs="David"/>
          <w:b/>
          <w:bCs/>
          <w:rtl/>
        </w:rPr>
        <w:t>ראשי נזק</w:t>
      </w:r>
      <w:r w:rsidRPr="002015B0">
        <w:rPr>
          <w:rFonts w:ascii="Arial" w:hAnsi="Arial" w:cs="David"/>
          <w:rtl/>
        </w:rPr>
        <w:t>) המרכיבים את הנזק בכללותו (כגון - כאב וסבל, הפסדי השתכרות, הוצאות, קיצור תוחלת החיים ועוד).</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לשם המחשת אופן חישוב הפיצויים על-ידי בתי המשפט, לקחנו כדוגמא מקרה בו אדם נפגע בתאונה שנחשבת להיות גם תאונת עבודה (לצורך העניין הנחנו כי התאונה </w:t>
      </w:r>
      <w:proofErr w:type="spellStart"/>
      <w:r w:rsidRPr="002015B0">
        <w:rPr>
          <w:rFonts w:ascii="Arial" w:hAnsi="Arial" w:cs="David"/>
          <w:rtl/>
        </w:rPr>
        <w:t>היתה</w:t>
      </w:r>
      <w:proofErr w:type="spellEnd"/>
      <w:r w:rsidRPr="002015B0">
        <w:rPr>
          <w:rFonts w:ascii="Arial" w:hAnsi="Arial" w:cs="David"/>
          <w:rtl/>
        </w:rPr>
        <w:t xml:space="preserve"> ברשלנותו של המעביד). ראינו כי בשלב הראשון יקבע בית המשפט את כלל נזקיו של התובע כסיכום של כל אחד ואחד מראשי הנזק השונים; ובשלב השני - לאחר קביעת גובה הנזק - יבחן בית המשפט האם יש מקום להפחית מהפיצוי המגיע לניזוק ממעבידו סכומים שונים, כגון: שיעור רשלנותו התורמת של העובד ו/או סכומים שקיבל או שעתיד לקבל העובד מהמוסד לביטוח לאומי (דמי פגיעה ומענק/קצבת נכות) בשל תאונת העבודה שארעה לו. </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את השיעור סיימנו בדיון על </w:t>
      </w:r>
      <w:r w:rsidRPr="002015B0">
        <w:rPr>
          <w:rFonts w:ascii="Arial" w:hAnsi="Arial" w:cs="David"/>
          <w:b/>
          <w:bCs/>
          <w:rtl/>
        </w:rPr>
        <w:t xml:space="preserve">הפיצויים </w:t>
      </w:r>
      <w:proofErr w:type="spellStart"/>
      <w:r w:rsidRPr="002015B0">
        <w:rPr>
          <w:rFonts w:ascii="Arial" w:hAnsi="Arial" w:cs="David"/>
          <w:b/>
          <w:bCs/>
          <w:rtl/>
        </w:rPr>
        <w:t>העונשיים</w:t>
      </w:r>
      <w:proofErr w:type="spellEnd"/>
      <w:r w:rsidRPr="002015B0">
        <w:rPr>
          <w:rFonts w:ascii="Arial" w:hAnsi="Arial" w:cs="David"/>
          <w:rtl/>
        </w:rPr>
        <w:t xml:space="preserve">, אשר להבדיל מהפיצויים הרגילים אינם משקפים את הנזק שנגרם לניזוק בשל העוולה, אלא אופיים הוא עונשי או הרתעתי, ולפיכך גם מהווים חריג לגישה התרופתית בה מכיר הדין. דהיינו, פסיקת פיצויים </w:t>
      </w:r>
      <w:proofErr w:type="spellStart"/>
      <w:r w:rsidRPr="002015B0">
        <w:rPr>
          <w:rFonts w:ascii="Arial" w:hAnsi="Arial" w:cs="David"/>
          <w:rtl/>
        </w:rPr>
        <w:t>עונשיים</w:t>
      </w:r>
      <w:proofErr w:type="spellEnd"/>
      <w:r w:rsidRPr="002015B0">
        <w:rPr>
          <w:rFonts w:ascii="Arial" w:hAnsi="Arial" w:cs="David"/>
          <w:rtl/>
        </w:rPr>
        <w:t xml:space="preserve"> מהווה סטייה מהעיקרון של דיני </w:t>
      </w:r>
      <w:proofErr w:type="spellStart"/>
      <w:r w:rsidRPr="002015B0">
        <w:rPr>
          <w:rFonts w:ascii="Arial" w:hAnsi="Arial" w:cs="David"/>
          <w:rtl/>
        </w:rPr>
        <w:t>הנזיקין</w:t>
      </w:r>
      <w:proofErr w:type="spellEnd"/>
      <w:r w:rsidRPr="002015B0">
        <w:rPr>
          <w:rFonts w:ascii="Arial" w:hAnsi="Arial" w:cs="David"/>
          <w:rtl/>
        </w:rPr>
        <w:t xml:space="preserve"> בדבר השבת המצב לקדמותו, זאת בשל העובדה שהדגש בקביעתם אינו בנזק עצמו, אלא בהבעת סלידתו של בית המשפט ממעשיו או מחדליו של המזיק.</w:t>
      </w:r>
    </w:p>
    <w:p w:rsidR="0045569A" w:rsidRPr="002015B0" w:rsidRDefault="0045569A" w:rsidP="00B20AF3">
      <w:pPr>
        <w:pStyle w:val="NormalWeb"/>
        <w:bidi/>
        <w:spacing w:beforeAutospacing="0" w:after="0" w:afterAutospacing="0"/>
        <w:ind w:right="113"/>
        <w:jc w:val="both"/>
        <w:rPr>
          <w:rFonts w:ascii="Arial" w:hAnsi="Arial" w:cs="David"/>
          <w:rtl/>
        </w:rPr>
      </w:pPr>
      <w:r w:rsidRPr="002015B0">
        <w:rPr>
          <w:rFonts w:ascii="Arial" w:hAnsi="Arial" w:cs="David"/>
          <w:rtl/>
        </w:rPr>
        <w:t xml:space="preserve">בכך למעשה סיימנו את דיון המבוא על דיני </w:t>
      </w:r>
      <w:proofErr w:type="spellStart"/>
      <w:r w:rsidRPr="002015B0">
        <w:rPr>
          <w:rFonts w:ascii="Arial" w:hAnsi="Arial" w:cs="David"/>
          <w:rtl/>
        </w:rPr>
        <w:t>הנזיקין</w:t>
      </w:r>
      <w:proofErr w:type="spellEnd"/>
      <w:r w:rsidRPr="002015B0">
        <w:rPr>
          <w:rFonts w:ascii="Arial" w:hAnsi="Arial" w:cs="David"/>
          <w:rtl/>
        </w:rPr>
        <w:t xml:space="preserve"> בישראל.</w:t>
      </w:r>
    </w:p>
    <w:p w:rsidR="0045569A" w:rsidRPr="002015B0" w:rsidRDefault="0045569A" w:rsidP="002015B0">
      <w:pPr>
        <w:spacing w:after="0" w:line="240" w:lineRule="auto"/>
        <w:rPr>
          <w:rFonts w:cs="David" w:hint="cs"/>
          <w:b/>
          <w:bCs/>
          <w:sz w:val="24"/>
          <w:szCs w:val="24"/>
          <w:u w:val="single"/>
          <w:rtl/>
        </w:rPr>
      </w:pPr>
    </w:p>
    <w:p w:rsidR="008A6A56" w:rsidRPr="002015B0" w:rsidRDefault="008A6A56" w:rsidP="002015B0">
      <w:pPr>
        <w:spacing w:after="0" w:line="240" w:lineRule="auto"/>
        <w:rPr>
          <w:rFonts w:cs="David" w:hint="cs"/>
          <w:sz w:val="24"/>
          <w:szCs w:val="24"/>
        </w:rPr>
      </w:pPr>
    </w:p>
    <w:sectPr w:rsidR="008A6A56" w:rsidRPr="002015B0" w:rsidSect="002015B0">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A56"/>
    <w:rsid w:val="002015B0"/>
    <w:rsid w:val="0045569A"/>
    <w:rsid w:val="008A6A56"/>
    <w:rsid w:val="008B2BF9"/>
    <w:rsid w:val="00A51886"/>
    <w:rsid w:val="00AF6498"/>
    <w:rsid w:val="00B20AF3"/>
    <w:rsid w:val="00C6586F"/>
    <w:rsid w:val="00D22E48"/>
    <w:rsid w:val="00E83F26"/>
    <w:rsid w:val="00EE27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8A6A56"/>
    <w:rPr>
      <w:color w:val="0000FF"/>
      <w:u w:val="single"/>
    </w:rPr>
  </w:style>
  <w:style w:type="paragraph" w:styleId="NormalWeb">
    <w:name w:val="Normal (Web)"/>
    <w:basedOn w:val="a"/>
    <w:uiPriority w:val="99"/>
    <w:unhideWhenUsed/>
    <w:rsid w:val="008A6A5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8A6A56"/>
    <w:rPr>
      <w:b/>
      <w:bCs/>
    </w:rPr>
  </w:style>
  <w:style w:type="paragraph" w:styleId="a4">
    <w:name w:val="Balloon Text"/>
    <w:basedOn w:val="a"/>
    <w:link w:val="a5"/>
    <w:uiPriority w:val="99"/>
    <w:semiHidden/>
    <w:unhideWhenUsed/>
    <w:rsid w:val="008A6A56"/>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A6A56"/>
    <w:rPr>
      <w:rFonts w:ascii="Tahoma" w:hAnsi="Tahoma" w:cs="Tahoma"/>
      <w:sz w:val="16"/>
      <w:szCs w:val="16"/>
    </w:rPr>
  </w:style>
  <w:style w:type="paragraph" w:styleId="a6">
    <w:name w:val="Body Text"/>
    <w:basedOn w:val="a"/>
    <w:link w:val="a7"/>
    <w:uiPriority w:val="99"/>
    <w:semiHidden/>
    <w:unhideWhenUsed/>
    <w:rsid w:val="0045569A"/>
    <w:pPr>
      <w:spacing w:after="0" w:line="240" w:lineRule="auto"/>
      <w:jc w:val="both"/>
    </w:pPr>
    <w:rPr>
      <w:rFonts w:ascii="Times New Roman" w:eastAsia="Times New Roman" w:hAnsi="Times New Roman" w:cs="David"/>
      <w:sz w:val="24"/>
      <w:szCs w:val="24"/>
      <w:lang w:eastAsia="he-IL"/>
    </w:rPr>
  </w:style>
  <w:style w:type="character" w:customStyle="1" w:styleId="a7">
    <w:name w:val="גוף טקסט תו"/>
    <w:basedOn w:val="a0"/>
    <w:link w:val="a6"/>
    <w:uiPriority w:val="99"/>
    <w:semiHidden/>
    <w:rsid w:val="0045569A"/>
    <w:rPr>
      <w:rFonts w:ascii="Times New Roman" w:eastAsia="Times New Roman" w:hAnsi="Times New Roman" w:cs="David"/>
      <w:sz w:val="24"/>
      <w:szCs w:val="24"/>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8A6A56"/>
    <w:rPr>
      <w:color w:val="0000FF"/>
      <w:u w:val="single"/>
    </w:rPr>
  </w:style>
  <w:style w:type="paragraph" w:styleId="NormalWeb">
    <w:name w:val="Normal (Web)"/>
    <w:basedOn w:val="a"/>
    <w:uiPriority w:val="99"/>
    <w:unhideWhenUsed/>
    <w:rsid w:val="008A6A5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8A6A56"/>
    <w:rPr>
      <w:b/>
      <w:bCs/>
    </w:rPr>
  </w:style>
  <w:style w:type="paragraph" w:styleId="a4">
    <w:name w:val="Balloon Text"/>
    <w:basedOn w:val="a"/>
    <w:link w:val="a5"/>
    <w:uiPriority w:val="99"/>
    <w:semiHidden/>
    <w:unhideWhenUsed/>
    <w:rsid w:val="008A6A56"/>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8A6A56"/>
    <w:rPr>
      <w:rFonts w:ascii="Tahoma" w:hAnsi="Tahoma" w:cs="Tahoma"/>
      <w:sz w:val="16"/>
      <w:szCs w:val="16"/>
    </w:rPr>
  </w:style>
  <w:style w:type="paragraph" w:styleId="a6">
    <w:name w:val="Body Text"/>
    <w:basedOn w:val="a"/>
    <w:link w:val="a7"/>
    <w:uiPriority w:val="99"/>
    <w:semiHidden/>
    <w:unhideWhenUsed/>
    <w:rsid w:val="0045569A"/>
    <w:pPr>
      <w:spacing w:after="0" w:line="240" w:lineRule="auto"/>
      <w:jc w:val="both"/>
    </w:pPr>
    <w:rPr>
      <w:rFonts w:ascii="Times New Roman" w:eastAsia="Times New Roman" w:hAnsi="Times New Roman" w:cs="David"/>
      <w:sz w:val="24"/>
      <w:szCs w:val="24"/>
      <w:lang w:eastAsia="he-IL"/>
    </w:rPr>
  </w:style>
  <w:style w:type="character" w:customStyle="1" w:styleId="a7">
    <w:name w:val="גוף טקסט תו"/>
    <w:basedOn w:val="a0"/>
    <w:link w:val="a6"/>
    <w:uiPriority w:val="99"/>
    <w:semiHidden/>
    <w:rsid w:val="0045569A"/>
    <w:rPr>
      <w:rFonts w:ascii="Times New Roman" w:eastAsia="Times New Roman" w:hAnsi="Times New Roman" w:cs="David"/>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23</Pages>
  <Words>10562</Words>
  <Characters>52812</Characters>
  <Application>Microsoft Office Word</Application>
  <DocSecurity>0</DocSecurity>
  <Lines>440</Lines>
  <Paragraphs>126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cp:lastPrinted>2012-04-16T14:47:00Z</cp:lastPrinted>
  <dcterms:created xsi:type="dcterms:W3CDTF">2012-04-16T13:53:00Z</dcterms:created>
  <dcterms:modified xsi:type="dcterms:W3CDTF">2012-04-16T14:49:00Z</dcterms:modified>
</cp:coreProperties>
</file>